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9A097" w14:textId="77777777" w:rsidR="00772662" w:rsidRDefault="00772662" w:rsidP="000730C6">
      <w:pPr>
        <w:spacing w:line="240" w:lineRule="auto"/>
        <w:rPr>
          <w:b/>
          <w:bCs/>
          <w:sz w:val="28"/>
          <w:szCs w:val="28"/>
        </w:rPr>
      </w:pPr>
    </w:p>
    <w:p w14:paraId="04664811" w14:textId="77777777" w:rsidR="00772662" w:rsidRDefault="00772662" w:rsidP="000730C6">
      <w:pPr>
        <w:spacing w:line="240" w:lineRule="auto"/>
        <w:rPr>
          <w:b/>
          <w:bCs/>
          <w:sz w:val="28"/>
          <w:szCs w:val="28"/>
        </w:rPr>
      </w:pPr>
    </w:p>
    <w:p w14:paraId="60837A3B" w14:textId="77777777" w:rsidR="00772662" w:rsidRDefault="00772662" w:rsidP="000730C6">
      <w:pPr>
        <w:spacing w:line="240" w:lineRule="auto"/>
        <w:rPr>
          <w:b/>
          <w:bCs/>
          <w:sz w:val="28"/>
          <w:szCs w:val="28"/>
        </w:rPr>
      </w:pPr>
    </w:p>
    <w:p w14:paraId="088E45FA" w14:textId="77777777" w:rsidR="00772662" w:rsidRDefault="00772662" w:rsidP="000730C6">
      <w:pPr>
        <w:spacing w:line="240" w:lineRule="auto"/>
        <w:rPr>
          <w:b/>
          <w:bCs/>
          <w:sz w:val="28"/>
          <w:szCs w:val="28"/>
        </w:rPr>
      </w:pPr>
    </w:p>
    <w:p w14:paraId="29834C2C" w14:textId="77777777" w:rsidR="00772662" w:rsidRDefault="00772662" w:rsidP="000730C6">
      <w:pPr>
        <w:spacing w:line="240" w:lineRule="auto"/>
        <w:rPr>
          <w:b/>
          <w:bCs/>
          <w:sz w:val="28"/>
          <w:szCs w:val="28"/>
        </w:rPr>
      </w:pPr>
    </w:p>
    <w:p w14:paraId="0C91A7B8" w14:textId="77777777" w:rsidR="00772662" w:rsidRDefault="00772662" w:rsidP="000730C6">
      <w:pPr>
        <w:spacing w:line="240" w:lineRule="auto"/>
        <w:rPr>
          <w:b/>
          <w:bCs/>
          <w:sz w:val="28"/>
          <w:szCs w:val="28"/>
        </w:rPr>
      </w:pPr>
    </w:p>
    <w:p w14:paraId="5E8FFB78" w14:textId="2A26DC9D" w:rsidR="002B4095" w:rsidRPr="00747679" w:rsidRDefault="00BA0C59" w:rsidP="000730C6">
      <w:pPr>
        <w:pStyle w:val="Title"/>
        <w:rPr>
          <w:b/>
          <w:bCs/>
          <w:sz w:val="28"/>
          <w:szCs w:val="28"/>
        </w:rPr>
      </w:pPr>
      <w:r w:rsidRPr="00747679">
        <w:rPr>
          <w:b/>
          <w:bCs/>
          <w:sz w:val="28"/>
          <w:szCs w:val="28"/>
        </w:rPr>
        <w:t xml:space="preserve">What Happened to the Managerial </w:t>
      </w:r>
      <w:r w:rsidR="00812E32" w:rsidRPr="00747679">
        <w:rPr>
          <w:b/>
          <w:bCs/>
          <w:sz w:val="28"/>
          <w:szCs w:val="28"/>
        </w:rPr>
        <w:t>Exclusion</w:t>
      </w:r>
      <w:r w:rsidRPr="00747679">
        <w:rPr>
          <w:b/>
          <w:bCs/>
          <w:sz w:val="28"/>
          <w:szCs w:val="28"/>
        </w:rPr>
        <w:t xml:space="preserve"> in </w:t>
      </w:r>
      <w:r w:rsidR="00964F7E" w:rsidRPr="00747679">
        <w:rPr>
          <w:b/>
          <w:bCs/>
          <w:i/>
          <w:iCs/>
          <w:sz w:val="28"/>
          <w:szCs w:val="28"/>
        </w:rPr>
        <w:t>Casinos d</w:t>
      </w:r>
      <w:r w:rsidR="00262ECA" w:rsidRPr="00747679">
        <w:rPr>
          <w:b/>
          <w:bCs/>
          <w:i/>
          <w:iCs/>
          <w:sz w:val="28"/>
          <w:szCs w:val="28"/>
        </w:rPr>
        <w:t>u</w:t>
      </w:r>
      <w:r w:rsidR="00964F7E" w:rsidRPr="00747679">
        <w:rPr>
          <w:b/>
          <w:bCs/>
          <w:i/>
          <w:iCs/>
          <w:sz w:val="28"/>
          <w:szCs w:val="28"/>
        </w:rPr>
        <w:t xml:space="preserve"> </w:t>
      </w:r>
      <w:proofErr w:type="gramStart"/>
      <w:r w:rsidR="001F5858" w:rsidRPr="00747679">
        <w:rPr>
          <w:b/>
          <w:bCs/>
          <w:i/>
          <w:iCs/>
          <w:sz w:val="28"/>
          <w:szCs w:val="28"/>
        </w:rPr>
        <w:t>Québec</w:t>
      </w:r>
      <w:r w:rsidRPr="00747679">
        <w:rPr>
          <w:b/>
          <w:bCs/>
          <w:sz w:val="28"/>
          <w:szCs w:val="28"/>
        </w:rPr>
        <w:t>?</w:t>
      </w:r>
      <w:r w:rsidR="009D0787">
        <w:rPr>
          <w:b/>
          <w:bCs/>
          <w:sz w:val="28"/>
          <w:szCs w:val="28"/>
        </w:rPr>
        <w:t>*</w:t>
      </w:r>
      <w:proofErr w:type="gramEnd"/>
    </w:p>
    <w:p w14:paraId="262EA57F" w14:textId="77777777" w:rsidR="00BA0C59" w:rsidRDefault="00BA0C59" w:rsidP="000730C6">
      <w:pPr>
        <w:spacing w:line="240" w:lineRule="auto"/>
        <w:rPr>
          <w:b/>
          <w:bCs/>
          <w:sz w:val="28"/>
          <w:szCs w:val="28"/>
        </w:rPr>
      </w:pPr>
    </w:p>
    <w:p w14:paraId="1F64BA3C" w14:textId="77777777" w:rsidR="00772662" w:rsidRDefault="00772662" w:rsidP="000730C6">
      <w:pPr>
        <w:spacing w:line="240" w:lineRule="auto"/>
        <w:rPr>
          <w:sz w:val="28"/>
          <w:szCs w:val="28"/>
        </w:rPr>
      </w:pPr>
    </w:p>
    <w:p w14:paraId="74A0BAD9" w14:textId="77777777" w:rsidR="00772662" w:rsidRDefault="00772662" w:rsidP="000730C6">
      <w:pPr>
        <w:spacing w:line="240" w:lineRule="auto"/>
        <w:rPr>
          <w:sz w:val="28"/>
          <w:szCs w:val="28"/>
        </w:rPr>
      </w:pPr>
    </w:p>
    <w:p w14:paraId="3BCE5D8E" w14:textId="77777777" w:rsidR="00772662" w:rsidRDefault="00772662" w:rsidP="000730C6">
      <w:pPr>
        <w:spacing w:line="240" w:lineRule="auto"/>
        <w:rPr>
          <w:sz w:val="28"/>
          <w:szCs w:val="28"/>
        </w:rPr>
      </w:pPr>
    </w:p>
    <w:p w14:paraId="64715309" w14:textId="5B797A06" w:rsidR="003F7927" w:rsidRDefault="00BA0C59" w:rsidP="00FC4A6B">
      <w:pPr>
        <w:spacing w:line="240" w:lineRule="auto"/>
        <w:jc w:val="center"/>
        <w:rPr>
          <w:sz w:val="32"/>
          <w:szCs w:val="32"/>
        </w:rPr>
      </w:pPr>
      <w:r w:rsidRPr="00241AE1">
        <w:rPr>
          <w:sz w:val="32"/>
          <w:szCs w:val="32"/>
        </w:rPr>
        <w:t xml:space="preserve">Brian </w:t>
      </w:r>
      <w:r w:rsidR="002F0B82" w:rsidRPr="00241AE1">
        <w:rPr>
          <w:sz w:val="32"/>
          <w:szCs w:val="32"/>
        </w:rPr>
        <w:t>Langille</w:t>
      </w:r>
      <w:r w:rsidR="0002146E">
        <w:rPr>
          <w:sz w:val="32"/>
          <w:szCs w:val="32"/>
        </w:rPr>
        <w:t>*</w:t>
      </w:r>
      <w:r w:rsidR="00146F76">
        <w:rPr>
          <w:sz w:val="32"/>
          <w:szCs w:val="32"/>
        </w:rPr>
        <w:t>*</w:t>
      </w:r>
    </w:p>
    <w:p w14:paraId="6B5A4E04" w14:textId="77777777" w:rsidR="00FC4A6B" w:rsidRPr="00FC4A6B" w:rsidRDefault="00FC4A6B" w:rsidP="00FC4A6B">
      <w:pPr>
        <w:spacing w:line="240" w:lineRule="auto"/>
        <w:jc w:val="center"/>
        <w:rPr>
          <w:sz w:val="32"/>
          <w:szCs w:val="32"/>
        </w:rPr>
      </w:pPr>
    </w:p>
    <w:p w14:paraId="54006D8D" w14:textId="77777777" w:rsidR="00772662" w:rsidRDefault="00772662" w:rsidP="000730C6">
      <w:pPr>
        <w:spacing w:line="240" w:lineRule="auto"/>
        <w:rPr>
          <w:sz w:val="28"/>
          <w:szCs w:val="28"/>
        </w:rPr>
      </w:pPr>
    </w:p>
    <w:p w14:paraId="3CAB8AF0" w14:textId="77777777" w:rsidR="00772662" w:rsidRDefault="00772662" w:rsidP="000730C6">
      <w:pPr>
        <w:spacing w:line="240" w:lineRule="auto"/>
        <w:rPr>
          <w:sz w:val="28"/>
          <w:szCs w:val="28"/>
        </w:rPr>
      </w:pPr>
    </w:p>
    <w:p w14:paraId="76787B32" w14:textId="77777777" w:rsidR="00772662" w:rsidRDefault="00772662" w:rsidP="000730C6">
      <w:pPr>
        <w:spacing w:line="240" w:lineRule="auto"/>
        <w:rPr>
          <w:sz w:val="28"/>
          <w:szCs w:val="28"/>
        </w:rPr>
      </w:pPr>
    </w:p>
    <w:p w14:paraId="3A183058" w14:textId="77777777" w:rsidR="00772662" w:rsidRDefault="00772662" w:rsidP="000730C6">
      <w:pPr>
        <w:spacing w:line="240" w:lineRule="auto"/>
        <w:rPr>
          <w:sz w:val="28"/>
          <w:szCs w:val="28"/>
        </w:rPr>
      </w:pPr>
    </w:p>
    <w:p w14:paraId="7B6EE810" w14:textId="77777777" w:rsidR="0044118C" w:rsidRDefault="0044118C" w:rsidP="000730C6">
      <w:pPr>
        <w:spacing w:line="240" w:lineRule="auto"/>
        <w:jc w:val="left"/>
        <w:rPr>
          <w:sz w:val="28"/>
          <w:szCs w:val="28"/>
        </w:rPr>
      </w:pPr>
    </w:p>
    <w:p w14:paraId="191D841F" w14:textId="77777777" w:rsidR="0044118C" w:rsidRDefault="0044118C" w:rsidP="000730C6">
      <w:pPr>
        <w:spacing w:line="240" w:lineRule="auto"/>
        <w:jc w:val="left"/>
        <w:rPr>
          <w:sz w:val="28"/>
          <w:szCs w:val="28"/>
        </w:rPr>
      </w:pPr>
    </w:p>
    <w:p w14:paraId="032694D3" w14:textId="77777777" w:rsidR="0044118C" w:rsidRDefault="0044118C" w:rsidP="000730C6">
      <w:pPr>
        <w:spacing w:line="240" w:lineRule="auto"/>
        <w:jc w:val="left"/>
        <w:rPr>
          <w:sz w:val="28"/>
          <w:szCs w:val="28"/>
        </w:rPr>
      </w:pPr>
    </w:p>
    <w:p w14:paraId="0E513A8E" w14:textId="7DFC5AAD" w:rsidR="00050640" w:rsidRDefault="00D357A2" w:rsidP="00D357A2">
      <w:pPr>
        <w:jc w:val="left"/>
        <w:rPr>
          <w:szCs w:val="24"/>
        </w:rPr>
      </w:pPr>
      <w:r w:rsidRPr="00C848E1">
        <w:rPr>
          <w:szCs w:val="24"/>
        </w:rPr>
        <w:t>*</w:t>
      </w:r>
      <w:r w:rsidR="00050640">
        <w:rPr>
          <w:szCs w:val="24"/>
        </w:rPr>
        <w:t xml:space="preserve"> </w:t>
      </w:r>
      <w:r w:rsidR="00050640" w:rsidRPr="00050640">
        <w:rPr>
          <w:szCs w:val="24"/>
        </w:rPr>
        <w:t>(2025) 48:2 Dal</w:t>
      </w:r>
      <w:r w:rsidR="00456F2E">
        <w:rPr>
          <w:szCs w:val="24"/>
        </w:rPr>
        <w:t xml:space="preserve"> </w:t>
      </w:r>
      <w:r w:rsidR="00050640" w:rsidRPr="00050640">
        <w:rPr>
          <w:szCs w:val="24"/>
        </w:rPr>
        <w:t>LJ (forthcoming).</w:t>
      </w:r>
    </w:p>
    <w:p w14:paraId="7A10E4BD" w14:textId="191899CF" w:rsidR="00D357A2" w:rsidRPr="00C848E1" w:rsidRDefault="00050640" w:rsidP="00D357A2">
      <w:pPr>
        <w:jc w:val="left"/>
        <w:rPr>
          <w:bCs/>
          <w:szCs w:val="24"/>
          <w:lang w:val="en-GB"/>
        </w:rPr>
      </w:pPr>
      <w:r>
        <w:rPr>
          <w:szCs w:val="24"/>
        </w:rPr>
        <w:t xml:space="preserve">** </w:t>
      </w:r>
      <w:r w:rsidR="00D357A2" w:rsidRPr="00C848E1">
        <w:rPr>
          <w:bCs/>
          <w:szCs w:val="24"/>
          <w:lang w:val="en-GB"/>
        </w:rPr>
        <w:t xml:space="preserve">Faculty of Law, University of Toronto. Thanks to Bethany Hastie and Eric Tucker for </w:t>
      </w:r>
      <w:r w:rsidR="00BC36C1">
        <w:rPr>
          <w:bCs/>
          <w:szCs w:val="24"/>
          <w:lang w:val="en-GB"/>
        </w:rPr>
        <w:t xml:space="preserve">their </w:t>
      </w:r>
      <w:r w:rsidR="00C2059A" w:rsidRPr="00C848E1">
        <w:rPr>
          <w:bCs/>
          <w:szCs w:val="24"/>
          <w:lang w:val="en-GB"/>
        </w:rPr>
        <w:t>comments</w:t>
      </w:r>
      <w:r w:rsidR="0000173E">
        <w:rPr>
          <w:bCs/>
          <w:szCs w:val="24"/>
          <w:lang w:val="en-GB"/>
        </w:rPr>
        <w:t xml:space="preserve"> and to Humphrey Yuan </w:t>
      </w:r>
      <w:r w:rsidR="00747679">
        <w:rPr>
          <w:bCs/>
          <w:szCs w:val="24"/>
          <w:lang w:val="en-GB"/>
        </w:rPr>
        <w:t xml:space="preserve">JD </w:t>
      </w:r>
      <w:r w:rsidR="0000173E">
        <w:rPr>
          <w:bCs/>
          <w:szCs w:val="24"/>
          <w:lang w:val="en-GB"/>
        </w:rPr>
        <w:t>for excellent assistance.</w:t>
      </w:r>
    </w:p>
    <w:p w14:paraId="75242E81" w14:textId="77777777" w:rsidR="00D357A2" w:rsidRDefault="00D357A2" w:rsidP="00D357A2">
      <w:pPr>
        <w:spacing w:line="240" w:lineRule="auto"/>
        <w:rPr>
          <w:sz w:val="28"/>
          <w:szCs w:val="28"/>
        </w:rPr>
      </w:pPr>
    </w:p>
    <w:p w14:paraId="4F21FE42" w14:textId="77777777" w:rsidR="00A93BF7" w:rsidRDefault="00A93BF7" w:rsidP="005049B4">
      <w:pPr>
        <w:spacing w:line="240" w:lineRule="auto"/>
        <w:rPr>
          <w:szCs w:val="24"/>
        </w:rPr>
      </w:pPr>
    </w:p>
    <w:p w14:paraId="67B56EFC" w14:textId="77777777" w:rsidR="00531D31" w:rsidRDefault="00531D31" w:rsidP="005049B4">
      <w:pPr>
        <w:spacing w:line="240" w:lineRule="auto"/>
        <w:rPr>
          <w:szCs w:val="24"/>
        </w:rPr>
      </w:pPr>
    </w:p>
    <w:p w14:paraId="72730341" w14:textId="77777777" w:rsidR="00531D31" w:rsidRDefault="00531D31" w:rsidP="005049B4">
      <w:pPr>
        <w:spacing w:line="240" w:lineRule="auto"/>
        <w:rPr>
          <w:szCs w:val="24"/>
        </w:rPr>
      </w:pPr>
    </w:p>
    <w:p w14:paraId="0DE1640B" w14:textId="77777777" w:rsidR="00A93BF7" w:rsidRDefault="00A93BF7" w:rsidP="005049B4">
      <w:pPr>
        <w:spacing w:line="240" w:lineRule="auto"/>
        <w:rPr>
          <w:szCs w:val="24"/>
        </w:rPr>
      </w:pPr>
    </w:p>
    <w:p w14:paraId="44AD9C08" w14:textId="3AC75A1D" w:rsidR="00A93BF7" w:rsidRPr="00A93BF7" w:rsidRDefault="00A93BF7" w:rsidP="005049B4">
      <w:pPr>
        <w:spacing w:line="240" w:lineRule="auto"/>
        <w:rPr>
          <w:b/>
          <w:bCs/>
          <w:szCs w:val="24"/>
        </w:rPr>
      </w:pPr>
      <w:proofErr w:type="gramStart"/>
      <w:r w:rsidRPr="00A93BF7">
        <w:rPr>
          <w:b/>
          <w:bCs/>
          <w:szCs w:val="24"/>
        </w:rPr>
        <w:lastRenderedPageBreak/>
        <w:t xml:space="preserve">I </w:t>
      </w:r>
      <w:r>
        <w:rPr>
          <w:b/>
          <w:bCs/>
          <w:szCs w:val="24"/>
        </w:rPr>
        <w:t xml:space="preserve"> </w:t>
      </w:r>
      <w:r w:rsidRPr="00A93BF7">
        <w:rPr>
          <w:b/>
          <w:bCs/>
          <w:szCs w:val="24"/>
        </w:rPr>
        <w:t>The</w:t>
      </w:r>
      <w:proofErr w:type="gramEnd"/>
      <w:r w:rsidRPr="00A93BF7">
        <w:rPr>
          <w:b/>
          <w:bCs/>
          <w:szCs w:val="24"/>
        </w:rPr>
        <w:t xml:space="preserve"> managerial exclusion – as we thought we knew it.</w:t>
      </w:r>
    </w:p>
    <w:p w14:paraId="7F4862EC" w14:textId="77777777" w:rsidR="00A93BF7" w:rsidRDefault="00A93BF7" w:rsidP="005049B4">
      <w:pPr>
        <w:spacing w:line="240" w:lineRule="auto"/>
        <w:rPr>
          <w:szCs w:val="24"/>
        </w:rPr>
      </w:pPr>
    </w:p>
    <w:p w14:paraId="23542C85" w14:textId="51730E19" w:rsidR="0040556A" w:rsidRPr="00C848E1" w:rsidRDefault="003F7927" w:rsidP="005049B4">
      <w:pPr>
        <w:spacing w:line="240" w:lineRule="auto"/>
        <w:rPr>
          <w:sz w:val="28"/>
          <w:szCs w:val="28"/>
        </w:rPr>
      </w:pPr>
      <w:r w:rsidRPr="004D1AC3">
        <w:rPr>
          <w:szCs w:val="24"/>
        </w:rPr>
        <w:t xml:space="preserve">The </w:t>
      </w:r>
      <w:r w:rsidR="00F40BBD">
        <w:rPr>
          <w:szCs w:val="24"/>
        </w:rPr>
        <w:t>“</w:t>
      </w:r>
      <w:r w:rsidRPr="004D1AC3">
        <w:rPr>
          <w:szCs w:val="24"/>
        </w:rPr>
        <w:t>managerial exclusion</w:t>
      </w:r>
      <w:r w:rsidR="00F40BBD">
        <w:rPr>
          <w:szCs w:val="24"/>
        </w:rPr>
        <w:t>”</w:t>
      </w:r>
      <w:r w:rsidRPr="004D1AC3">
        <w:rPr>
          <w:szCs w:val="24"/>
        </w:rPr>
        <w:t xml:space="preserve"> </w:t>
      </w:r>
      <w:r w:rsidR="001C1218" w:rsidRPr="004D1AC3">
        <w:rPr>
          <w:szCs w:val="24"/>
        </w:rPr>
        <w:t xml:space="preserve">is a </w:t>
      </w:r>
      <w:r w:rsidR="00DE336A" w:rsidRPr="004D1AC3">
        <w:rPr>
          <w:szCs w:val="24"/>
        </w:rPr>
        <w:t xml:space="preserve">very familiar </w:t>
      </w:r>
      <w:r w:rsidR="00920350">
        <w:rPr>
          <w:szCs w:val="24"/>
        </w:rPr>
        <w:t>fixture in</w:t>
      </w:r>
      <w:r w:rsidR="00DE336A" w:rsidRPr="004D1AC3">
        <w:rPr>
          <w:szCs w:val="24"/>
        </w:rPr>
        <w:t xml:space="preserve"> </w:t>
      </w:r>
      <w:r w:rsidR="001A5551" w:rsidRPr="004D1AC3">
        <w:rPr>
          <w:szCs w:val="24"/>
        </w:rPr>
        <w:t xml:space="preserve">our </w:t>
      </w:r>
      <w:r w:rsidR="00244352" w:rsidRPr="004D1AC3">
        <w:rPr>
          <w:szCs w:val="24"/>
        </w:rPr>
        <w:t>complex</w:t>
      </w:r>
      <w:r w:rsidR="00EA243F">
        <w:rPr>
          <w:szCs w:val="24"/>
        </w:rPr>
        <w:t xml:space="preserve"> and comprehensive</w:t>
      </w:r>
      <w:r w:rsidR="00244352" w:rsidRPr="004D1AC3">
        <w:rPr>
          <w:szCs w:val="24"/>
        </w:rPr>
        <w:t xml:space="preserve"> statutory</w:t>
      </w:r>
      <w:r w:rsidR="00DE336A" w:rsidRPr="004D1AC3">
        <w:rPr>
          <w:szCs w:val="24"/>
        </w:rPr>
        <w:t xml:space="preserve"> law </w:t>
      </w:r>
      <w:r w:rsidR="004257DB">
        <w:rPr>
          <w:szCs w:val="24"/>
        </w:rPr>
        <w:t>which governs</w:t>
      </w:r>
      <w:r w:rsidR="00DE336A" w:rsidRPr="004D1AC3">
        <w:rPr>
          <w:szCs w:val="24"/>
        </w:rPr>
        <w:t xml:space="preserve"> </w:t>
      </w:r>
      <w:r w:rsidR="00244352" w:rsidRPr="004D1AC3">
        <w:rPr>
          <w:szCs w:val="24"/>
        </w:rPr>
        <w:t xml:space="preserve">collective </w:t>
      </w:r>
      <w:r w:rsidR="00DE336A" w:rsidRPr="004D1AC3">
        <w:rPr>
          <w:szCs w:val="24"/>
        </w:rPr>
        <w:t>work</w:t>
      </w:r>
      <w:r w:rsidR="00244352" w:rsidRPr="004D1AC3">
        <w:rPr>
          <w:szCs w:val="24"/>
        </w:rPr>
        <w:t xml:space="preserve"> relations</w:t>
      </w:r>
      <w:r w:rsidR="004257DB">
        <w:rPr>
          <w:szCs w:val="24"/>
        </w:rPr>
        <w:t xml:space="preserve"> in Canada</w:t>
      </w:r>
      <w:r w:rsidR="00DE336A" w:rsidRPr="004D1AC3">
        <w:rPr>
          <w:szCs w:val="24"/>
        </w:rPr>
        <w:t>.</w:t>
      </w:r>
      <w:bookmarkStart w:id="0" w:name="_Ref178582536"/>
      <w:r w:rsidR="001A5551" w:rsidRPr="004D1AC3">
        <w:rPr>
          <w:rStyle w:val="FootnoteReference"/>
          <w:szCs w:val="24"/>
        </w:rPr>
        <w:footnoteReference w:id="1"/>
      </w:r>
      <w:bookmarkEnd w:id="0"/>
      <w:r w:rsidR="00DE336A" w:rsidRPr="004D1AC3">
        <w:rPr>
          <w:szCs w:val="24"/>
        </w:rPr>
        <w:t xml:space="preserve"> </w:t>
      </w:r>
      <w:r w:rsidR="00E314B3" w:rsidRPr="004D1AC3">
        <w:rPr>
          <w:szCs w:val="24"/>
        </w:rPr>
        <w:t>Our understanding of the exclusion</w:t>
      </w:r>
      <w:r w:rsidR="00DE336A" w:rsidRPr="004D1AC3">
        <w:rPr>
          <w:szCs w:val="24"/>
        </w:rPr>
        <w:t xml:space="preserve"> </w:t>
      </w:r>
      <w:r w:rsidR="00EA44B7" w:rsidRPr="004D1AC3">
        <w:rPr>
          <w:szCs w:val="24"/>
        </w:rPr>
        <w:t>has been</w:t>
      </w:r>
      <w:r w:rsidR="00DE336A" w:rsidRPr="004D1AC3">
        <w:rPr>
          <w:szCs w:val="24"/>
        </w:rPr>
        <w:t xml:space="preserve"> polished with </w:t>
      </w:r>
      <w:r w:rsidR="00EE5EAB">
        <w:rPr>
          <w:szCs w:val="24"/>
        </w:rPr>
        <w:t>countless</w:t>
      </w:r>
      <w:r w:rsidR="00DE336A" w:rsidRPr="004D1AC3">
        <w:rPr>
          <w:szCs w:val="24"/>
        </w:rPr>
        <w:t xml:space="preserve"> lectures and exam answers </w:t>
      </w:r>
      <w:r w:rsidR="00695EDB" w:rsidRPr="004D1AC3">
        <w:rPr>
          <w:szCs w:val="24"/>
        </w:rPr>
        <w:t>in law schools</w:t>
      </w:r>
      <w:r w:rsidR="00E314B3" w:rsidRPr="004D1AC3">
        <w:rPr>
          <w:szCs w:val="24"/>
        </w:rPr>
        <w:t>,</w:t>
      </w:r>
      <w:r w:rsidR="00695EDB" w:rsidRPr="004D1AC3">
        <w:rPr>
          <w:szCs w:val="24"/>
        </w:rPr>
        <w:t xml:space="preserve"> </w:t>
      </w:r>
      <w:r w:rsidR="00EE5EAB">
        <w:rPr>
          <w:szCs w:val="24"/>
        </w:rPr>
        <w:t>relying upon</w:t>
      </w:r>
      <w:r w:rsidR="00695EDB" w:rsidRPr="004D1AC3">
        <w:rPr>
          <w:szCs w:val="24"/>
        </w:rPr>
        <w:t xml:space="preserve"> thousands of decisions</w:t>
      </w:r>
      <w:r w:rsidR="00F451FC" w:rsidRPr="004D1AC3">
        <w:rPr>
          <w:szCs w:val="24"/>
        </w:rPr>
        <w:t xml:space="preserve"> from </w:t>
      </w:r>
      <w:r w:rsidR="004A79F3" w:rsidRPr="004D1AC3">
        <w:rPr>
          <w:szCs w:val="24"/>
        </w:rPr>
        <w:t xml:space="preserve">labour relations </w:t>
      </w:r>
      <w:r w:rsidR="00F451FC" w:rsidRPr="004D1AC3">
        <w:rPr>
          <w:szCs w:val="24"/>
        </w:rPr>
        <w:t>boards across this country</w:t>
      </w:r>
      <w:r w:rsidR="00695EDB" w:rsidRPr="004D1AC3">
        <w:rPr>
          <w:szCs w:val="24"/>
        </w:rPr>
        <w:t xml:space="preserve">. The exclusion may be controversial for some, </w:t>
      </w:r>
      <w:r w:rsidR="00647F76">
        <w:rPr>
          <w:szCs w:val="24"/>
        </w:rPr>
        <w:t>including</w:t>
      </w:r>
      <w:r w:rsidR="009715A9">
        <w:rPr>
          <w:szCs w:val="24"/>
        </w:rPr>
        <w:t xml:space="preserve"> </w:t>
      </w:r>
      <w:r w:rsidR="00695EDB" w:rsidRPr="004D1AC3">
        <w:rPr>
          <w:szCs w:val="24"/>
        </w:rPr>
        <w:t xml:space="preserve">the </w:t>
      </w:r>
      <w:r w:rsidR="00FC4A6B" w:rsidRPr="00FC4A6B">
        <w:rPr>
          <w:szCs w:val="24"/>
        </w:rPr>
        <w:t xml:space="preserve">International Labour Organization </w:t>
      </w:r>
      <w:r w:rsidR="00FC4A6B">
        <w:rPr>
          <w:szCs w:val="24"/>
        </w:rPr>
        <w:t>(“</w:t>
      </w:r>
      <w:r w:rsidR="00695EDB" w:rsidRPr="004D1AC3">
        <w:rPr>
          <w:szCs w:val="24"/>
        </w:rPr>
        <w:t>ILO</w:t>
      </w:r>
      <w:r w:rsidR="00FC4A6B">
        <w:rPr>
          <w:szCs w:val="24"/>
        </w:rPr>
        <w:t>”)</w:t>
      </w:r>
      <w:r w:rsidR="009715A9">
        <w:rPr>
          <w:szCs w:val="24"/>
        </w:rPr>
        <w:t xml:space="preserve"> </w:t>
      </w:r>
      <w:r w:rsidR="00BC36C1">
        <w:rPr>
          <w:szCs w:val="24"/>
        </w:rPr>
        <w:t xml:space="preserve">which </w:t>
      </w:r>
      <w:r w:rsidR="00BC36C1" w:rsidRPr="004D1AC3">
        <w:rPr>
          <w:szCs w:val="24"/>
        </w:rPr>
        <w:t>takes</w:t>
      </w:r>
      <w:r w:rsidR="003D025C" w:rsidRPr="004D1AC3">
        <w:rPr>
          <w:szCs w:val="24"/>
        </w:rPr>
        <w:t xml:space="preserve"> a dim view of it</w:t>
      </w:r>
      <w:r w:rsidR="00EB5FB0">
        <w:rPr>
          <w:szCs w:val="24"/>
        </w:rPr>
        <w:t>.</w:t>
      </w:r>
      <w:bookmarkStart w:id="1" w:name="_Ref178341910"/>
      <w:r w:rsidR="00C61AE2" w:rsidRPr="004D1AC3">
        <w:rPr>
          <w:rStyle w:val="FootnoteReference"/>
          <w:szCs w:val="24"/>
        </w:rPr>
        <w:footnoteReference w:id="2"/>
      </w:r>
      <w:bookmarkEnd w:id="1"/>
      <w:r w:rsidR="003D025C" w:rsidRPr="004D1AC3">
        <w:rPr>
          <w:szCs w:val="24"/>
        </w:rPr>
        <w:t xml:space="preserve"> But there is no doubt what it is</w:t>
      </w:r>
      <w:r w:rsidR="00B401FC" w:rsidRPr="004D1AC3">
        <w:rPr>
          <w:szCs w:val="24"/>
        </w:rPr>
        <w:t>,</w:t>
      </w:r>
      <w:r w:rsidR="003D025C" w:rsidRPr="004D1AC3">
        <w:rPr>
          <w:szCs w:val="24"/>
        </w:rPr>
        <w:t xml:space="preserve"> and why it is there. Managers are employees. Without </w:t>
      </w:r>
      <w:r w:rsidR="00B72CED">
        <w:rPr>
          <w:szCs w:val="24"/>
        </w:rPr>
        <w:t>the</w:t>
      </w:r>
      <w:r w:rsidR="00B72CED" w:rsidRPr="004D1AC3">
        <w:rPr>
          <w:szCs w:val="24"/>
        </w:rPr>
        <w:t xml:space="preserve"> </w:t>
      </w:r>
      <w:r w:rsidR="003D025C" w:rsidRPr="004D1AC3">
        <w:rPr>
          <w:szCs w:val="24"/>
        </w:rPr>
        <w:t>express</w:t>
      </w:r>
      <w:r w:rsidR="00B72CED">
        <w:rPr>
          <w:szCs w:val="24"/>
        </w:rPr>
        <w:t xml:space="preserve"> </w:t>
      </w:r>
      <w:r w:rsidR="00B72CED" w:rsidRPr="004D1AC3">
        <w:rPr>
          <w:szCs w:val="24"/>
        </w:rPr>
        <w:t>managerial</w:t>
      </w:r>
      <w:r w:rsidR="00B72CED">
        <w:rPr>
          <w:szCs w:val="24"/>
        </w:rPr>
        <w:t xml:space="preserve"> </w:t>
      </w:r>
      <w:r w:rsidR="003D025C" w:rsidRPr="004D1AC3">
        <w:rPr>
          <w:szCs w:val="24"/>
        </w:rPr>
        <w:t>exclusion</w:t>
      </w:r>
      <w:r w:rsidR="00B72CED">
        <w:rPr>
          <w:szCs w:val="24"/>
        </w:rPr>
        <w:t>,</w:t>
      </w:r>
      <w:r w:rsidR="003D025C" w:rsidRPr="004D1AC3">
        <w:rPr>
          <w:szCs w:val="24"/>
        </w:rPr>
        <w:t xml:space="preserve"> </w:t>
      </w:r>
      <w:r w:rsidR="00EA44B7" w:rsidRPr="004D1AC3">
        <w:rPr>
          <w:szCs w:val="24"/>
        </w:rPr>
        <w:t>managers</w:t>
      </w:r>
      <w:r w:rsidR="003D025C" w:rsidRPr="004D1AC3">
        <w:rPr>
          <w:szCs w:val="24"/>
        </w:rPr>
        <w:t xml:space="preserve"> would be covered by </w:t>
      </w:r>
      <w:r w:rsidR="00A92653">
        <w:rPr>
          <w:szCs w:val="24"/>
        </w:rPr>
        <w:t>our</w:t>
      </w:r>
      <w:r w:rsidR="003D025C" w:rsidRPr="004D1AC3">
        <w:rPr>
          <w:szCs w:val="24"/>
        </w:rPr>
        <w:t xml:space="preserve"> </w:t>
      </w:r>
      <w:r w:rsidR="00F62B65" w:rsidRPr="004D1AC3">
        <w:rPr>
          <w:szCs w:val="24"/>
        </w:rPr>
        <w:t>statute</w:t>
      </w:r>
      <w:r w:rsidR="00F62B65">
        <w:rPr>
          <w:szCs w:val="24"/>
        </w:rPr>
        <w:t>s</w:t>
      </w:r>
      <w:r w:rsidR="003D025C" w:rsidRPr="004D1AC3">
        <w:rPr>
          <w:szCs w:val="24"/>
        </w:rPr>
        <w:t xml:space="preserve"> and entitled to </w:t>
      </w:r>
      <w:r w:rsidR="00D93583">
        <w:rPr>
          <w:szCs w:val="24"/>
        </w:rPr>
        <w:t xml:space="preserve">their </w:t>
      </w:r>
      <w:r w:rsidR="00D93583" w:rsidRPr="004D1AC3">
        <w:rPr>
          <w:szCs w:val="24"/>
        </w:rPr>
        <w:t>complex</w:t>
      </w:r>
      <w:r w:rsidR="003D025C" w:rsidRPr="004D1AC3">
        <w:rPr>
          <w:szCs w:val="24"/>
        </w:rPr>
        <w:t xml:space="preserve"> set of rights and freedo</w:t>
      </w:r>
      <w:r w:rsidR="009610E3" w:rsidRPr="004D1AC3">
        <w:rPr>
          <w:szCs w:val="24"/>
        </w:rPr>
        <w:t>ms</w:t>
      </w:r>
      <w:r w:rsidR="007E5481" w:rsidRPr="004D1AC3">
        <w:rPr>
          <w:szCs w:val="24"/>
        </w:rPr>
        <w:t xml:space="preserve"> </w:t>
      </w:r>
      <w:r w:rsidR="002B5E4B">
        <w:rPr>
          <w:szCs w:val="24"/>
        </w:rPr>
        <w:t>“</w:t>
      </w:r>
      <w:r w:rsidR="007E5481" w:rsidRPr="004D1AC3">
        <w:rPr>
          <w:szCs w:val="24"/>
        </w:rPr>
        <w:t>instantiating</w:t>
      </w:r>
      <w:bookmarkStart w:id="2" w:name="_Ref178343407"/>
      <w:r w:rsidR="002B5E4B">
        <w:rPr>
          <w:szCs w:val="24"/>
        </w:rPr>
        <w:t>”</w:t>
      </w:r>
      <w:r w:rsidR="007E5481" w:rsidRPr="004D1AC3">
        <w:rPr>
          <w:rStyle w:val="FootnoteReference"/>
          <w:szCs w:val="24"/>
        </w:rPr>
        <w:footnoteReference w:id="3"/>
      </w:r>
      <w:bookmarkEnd w:id="2"/>
      <w:r w:rsidR="002B5E4B">
        <w:rPr>
          <w:szCs w:val="24"/>
        </w:rPr>
        <w:t xml:space="preserve">, </w:t>
      </w:r>
      <w:r w:rsidR="00B72CED">
        <w:rPr>
          <w:szCs w:val="24"/>
        </w:rPr>
        <w:t xml:space="preserve"> </w:t>
      </w:r>
      <w:r w:rsidR="00293D78" w:rsidRPr="004D1AC3">
        <w:rPr>
          <w:szCs w:val="24"/>
        </w:rPr>
        <w:t>o</w:t>
      </w:r>
      <w:r w:rsidR="007E5481" w:rsidRPr="004D1AC3">
        <w:rPr>
          <w:szCs w:val="24"/>
        </w:rPr>
        <w:t xml:space="preserve">r </w:t>
      </w:r>
      <w:r w:rsidR="002B5E4B">
        <w:rPr>
          <w:szCs w:val="24"/>
        </w:rPr>
        <w:t>“</w:t>
      </w:r>
      <w:r w:rsidR="007E5481" w:rsidRPr="004D1AC3">
        <w:rPr>
          <w:szCs w:val="24"/>
        </w:rPr>
        <w:t>embodyi</w:t>
      </w:r>
      <w:r w:rsidR="00293D78" w:rsidRPr="004D1AC3">
        <w:rPr>
          <w:szCs w:val="24"/>
        </w:rPr>
        <w:t>ng</w:t>
      </w:r>
      <w:r w:rsidR="002B5E4B">
        <w:rPr>
          <w:szCs w:val="24"/>
        </w:rPr>
        <w:t>”</w:t>
      </w:r>
      <w:r w:rsidR="00293D78" w:rsidRPr="004D1AC3">
        <w:rPr>
          <w:rStyle w:val="FootnoteReference"/>
          <w:szCs w:val="24"/>
        </w:rPr>
        <w:footnoteReference w:id="4"/>
      </w:r>
      <w:r w:rsidR="00B72CED">
        <w:rPr>
          <w:szCs w:val="24"/>
        </w:rPr>
        <w:t xml:space="preserve"> </w:t>
      </w:r>
      <w:r w:rsidR="00B72CED" w:rsidRPr="00366C05">
        <w:rPr>
          <w:szCs w:val="24"/>
        </w:rPr>
        <w:t>—</w:t>
      </w:r>
      <w:r w:rsidR="00293D78" w:rsidRPr="004D1AC3">
        <w:rPr>
          <w:szCs w:val="24"/>
        </w:rPr>
        <w:t xml:space="preserve"> our constitutional </w:t>
      </w:r>
      <w:r w:rsidR="002433FA" w:rsidRPr="004D1AC3">
        <w:rPr>
          <w:szCs w:val="24"/>
        </w:rPr>
        <w:t xml:space="preserve">freedom </w:t>
      </w:r>
      <w:r w:rsidR="004A6383">
        <w:rPr>
          <w:szCs w:val="24"/>
        </w:rPr>
        <w:t xml:space="preserve">of </w:t>
      </w:r>
      <w:r w:rsidR="002433FA" w:rsidRPr="004D1AC3">
        <w:rPr>
          <w:szCs w:val="24"/>
        </w:rPr>
        <w:t>associat</w:t>
      </w:r>
      <w:r w:rsidR="004A6383">
        <w:rPr>
          <w:szCs w:val="24"/>
        </w:rPr>
        <w:t>ion</w:t>
      </w:r>
      <w:r w:rsidR="002433FA" w:rsidRPr="004D1AC3">
        <w:rPr>
          <w:szCs w:val="24"/>
        </w:rPr>
        <w:t xml:space="preserve"> for </w:t>
      </w:r>
      <w:r w:rsidR="002B5E4B">
        <w:rPr>
          <w:szCs w:val="24"/>
        </w:rPr>
        <w:t>workers</w:t>
      </w:r>
      <w:r w:rsidR="002433FA" w:rsidRPr="004D1AC3">
        <w:rPr>
          <w:szCs w:val="24"/>
        </w:rPr>
        <w:t>.</w:t>
      </w:r>
      <w:bookmarkStart w:id="3" w:name="_Ref178936886"/>
      <w:r w:rsidR="00DE1FE2">
        <w:rPr>
          <w:rStyle w:val="FootnoteReference"/>
          <w:szCs w:val="24"/>
        </w:rPr>
        <w:footnoteReference w:id="5"/>
      </w:r>
      <w:bookmarkEnd w:id="3"/>
      <w:r w:rsidR="002433FA" w:rsidRPr="004D1AC3">
        <w:rPr>
          <w:szCs w:val="24"/>
        </w:rPr>
        <w:t xml:space="preserve"> This new </w:t>
      </w:r>
      <w:r w:rsidR="00256E54">
        <w:rPr>
          <w:szCs w:val="24"/>
        </w:rPr>
        <w:t xml:space="preserve">statutory </w:t>
      </w:r>
      <w:r w:rsidR="002433FA" w:rsidRPr="004D1AC3">
        <w:rPr>
          <w:szCs w:val="24"/>
        </w:rPr>
        <w:t>distribution of rights and freedoms was</w:t>
      </w:r>
      <w:r w:rsidR="00293D78" w:rsidRPr="004D1AC3">
        <w:rPr>
          <w:szCs w:val="24"/>
        </w:rPr>
        <w:t xml:space="preserve"> </w:t>
      </w:r>
      <w:r w:rsidR="009610E3" w:rsidRPr="004D1AC3">
        <w:rPr>
          <w:szCs w:val="24"/>
        </w:rPr>
        <w:t>designed</w:t>
      </w:r>
      <w:r w:rsidR="003D025C" w:rsidRPr="004D1AC3">
        <w:rPr>
          <w:szCs w:val="24"/>
        </w:rPr>
        <w:t xml:space="preserve"> to </w:t>
      </w:r>
      <w:r w:rsidR="004E63C6" w:rsidRPr="004D1AC3">
        <w:rPr>
          <w:szCs w:val="24"/>
        </w:rPr>
        <w:t xml:space="preserve">radically alter the pre-existing common law’s </w:t>
      </w:r>
      <w:r w:rsidR="00F028E3" w:rsidRPr="004D1AC3">
        <w:rPr>
          <w:szCs w:val="24"/>
        </w:rPr>
        <w:t xml:space="preserve">very different </w:t>
      </w:r>
      <w:r w:rsidR="004E63C6" w:rsidRPr="004D1AC3">
        <w:rPr>
          <w:szCs w:val="24"/>
        </w:rPr>
        <w:t xml:space="preserve">version of those </w:t>
      </w:r>
      <w:r w:rsidR="00A6517F" w:rsidRPr="004D1AC3">
        <w:rPr>
          <w:szCs w:val="24"/>
        </w:rPr>
        <w:t>rights</w:t>
      </w:r>
      <w:r w:rsidR="004E63C6" w:rsidRPr="004D1AC3">
        <w:rPr>
          <w:szCs w:val="24"/>
        </w:rPr>
        <w:t xml:space="preserve"> and freedoms</w:t>
      </w:r>
      <w:r w:rsidR="0041327D" w:rsidRPr="004D1AC3">
        <w:rPr>
          <w:szCs w:val="24"/>
        </w:rPr>
        <w:t xml:space="preserve">. </w:t>
      </w:r>
      <w:r w:rsidR="00183008">
        <w:rPr>
          <w:szCs w:val="24"/>
        </w:rPr>
        <w:t xml:space="preserve">As </w:t>
      </w:r>
      <w:r w:rsidR="00E04C6C">
        <w:rPr>
          <w:szCs w:val="24"/>
        </w:rPr>
        <w:t xml:space="preserve">Eric </w:t>
      </w:r>
      <w:r w:rsidR="00183008">
        <w:rPr>
          <w:szCs w:val="24"/>
        </w:rPr>
        <w:t xml:space="preserve">Tucker </w:t>
      </w:r>
      <w:r w:rsidR="006300A7">
        <w:rPr>
          <w:szCs w:val="24"/>
        </w:rPr>
        <w:t>felicitously</w:t>
      </w:r>
      <w:r w:rsidR="00183008">
        <w:rPr>
          <w:szCs w:val="24"/>
        </w:rPr>
        <w:t xml:space="preserve"> puts it</w:t>
      </w:r>
      <w:r w:rsidR="006300A7">
        <w:rPr>
          <w:szCs w:val="24"/>
        </w:rPr>
        <w:t>, the common law regime was one of “freedoms without rights”</w:t>
      </w:r>
      <w:r w:rsidR="006300A7">
        <w:rPr>
          <w:rStyle w:val="FootnoteReference"/>
          <w:szCs w:val="24"/>
        </w:rPr>
        <w:footnoteReference w:id="6"/>
      </w:r>
      <w:r w:rsidR="006300A7">
        <w:rPr>
          <w:szCs w:val="24"/>
        </w:rPr>
        <w:t>.</w:t>
      </w:r>
      <w:r w:rsidR="00AD0519">
        <w:rPr>
          <w:szCs w:val="24"/>
        </w:rPr>
        <w:t xml:space="preserve"> </w:t>
      </w:r>
      <w:r w:rsidR="00030D6D">
        <w:rPr>
          <w:szCs w:val="24"/>
        </w:rPr>
        <w:t xml:space="preserve">A fundamental legal strategy in, and a large </w:t>
      </w:r>
      <w:r w:rsidR="00AD0519">
        <w:rPr>
          <w:szCs w:val="24"/>
        </w:rPr>
        <w:t>point of</w:t>
      </w:r>
      <w:r w:rsidR="00E04C6C">
        <w:rPr>
          <w:szCs w:val="24"/>
        </w:rPr>
        <w:t>,</w:t>
      </w:r>
      <w:r w:rsidR="00AD0519">
        <w:rPr>
          <w:szCs w:val="24"/>
        </w:rPr>
        <w:t xml:space="preserve"> the statutes</w:t>
      </w:r>
      <w:r w:rsidR="00030D6D">
        <w:rPr>
          <w:szCs w:val="24"/>
        </w:rPr>
        <w:t>,</w:t>
      </w:r>
      <w:r w:rsidR="00AD0519">
        <w:rPr>
          <w:szCs w:val="24"/>
        </w:rPr>
        <w:t xml:space="preserve"> was to </w:t>
      </w:r>
      <w:r w:rsidR="000E368E">
        <w:rPr>
          <w:szCs w:val="24"/>
        </w:rPr>
        <w:t>add</w:t>
      </w:r>
      <w:r w:rsidR="00AD0519">
        <w:rPr>
          <w:szCs w:val="24"/>
        </w:rPr>
        <w:t xml:space="preserve"> </w:t>
      </w:r>
      <w:r w:rsidR="00030D6D">
        <w:rPr>
          <w:szCs w:val="24"/>
        </w:rPr>
        <w:t xml:space="preserve">rights (with correlative </w:t>
      </w:r>
      <w:r w:rsidR="00AD0519">
        <w:rPr>
          <w:szCs w:val="24"/>
        </w:rPr>
        <w:t>duties</w:t>
      </w:r>
      <w:r w:rsidR="00030D6D">
        <w:rPr>
          <w:szCs w:val="24"/>
        </w:rPr>
        <w:t>)</w:t>
      </w:r>
      <w:r w:rsidR="000E368E">
        <w:rPr>
          <w:szCs w:val="24"/>
        </w:rPr>
        <w:t xml:space="preserve"> to those freedoms</w:t>
      </w:r>
      <w:r w:rsidR="00F35904">
        <w:rPr>
          <w:rStyle w:val="FootnoteReference"/>
          <w:szCs w:val="24"/>
        </w:rPr>
        <w:footnoteReference w:id="7"/>
      </w:r>
      <w:r w:rsidR="000E368E">
        <w:rPr>
          <w:szCs w:val="24"/>
        </w:rPr>
        <w:t>.</w:t>
      </w:r>
      <w:r w:rsidR="006300A7">
        <w:rPr>
          <w:szCs w:val="24"/>
        </w:rPr>
        <w:t xml:space="preserve"> </w:t>
      </w:r>
      <w:r w:rsidR="00B058BB" w:rsidRPr="004D1AC3">
        <w:rPr>
          <w:szCs w:val="24"/>
        </w:rPr>
        <w:t>No one</w:t>
      </w:r>
      <w:r w:rsidR="0041327D" w:rsidRPr="004D1AC3">
        <w:rPr>
          <w:rStyle w:val="FootnoteReference"/>
          <w:szCs w:val="24"/>
        </w:rPr>
        <w:footnoteReference w:id="8"/>
      </w:r>
      <w:r w:rsidR="00B058BB" w:rsidRPr="004D1AC3">
        <w:rPr>
          <w:szCs w:val="24"/>
        </w:rPr>
        <w:t xml:space="preserve"> contests t</w:t>
      </w:r>
      <w:r w:rsidR="00D05ED1" w:rsidRPr="004D1AC3">
        <w:rPr>
          <w:szCs w:val="24"/>
        </w:rPr>
        <w:t>h</w:t>
      </w:r>
      <w:r w:rsidR="00B058BB" w:rsidRPr="004D1AC3">
        <w:rPr>
          <w:szCs w:val="24"/>
        </w:rPr>
        <w:t>at the</w:t>
      </w:r>
      <w:r w:rsidR="00D05ED1" w:rsidRPr="004D1AC3">
        <w:rPr>
          <w:szCs w:val="24"/>
        </w:rPr>
        <w:t xml:space="preserve"> point </w:t>
      </w:r>
      <w:r w:rsidR="00094A3F" w:rsidRPr="004D1AC3">
        <w:rPr>
          <w:szCs w:val="24"/>
        </w:rPr>
        <w:t>of the</w:t>
      </w:r>
      <w:r w:rsidR="00D05ED1" w:rsidRPr="004D1AC3">
        <w:rPr>
          <w:szCs w:val="24"/>
        </w:rPr>
        <w:t xml:space="preserve"> exclusion is to </w:t>
      </w:r>
      <w:r w:rsidR="005448BD">
        <w:rPr>
          <w:szCs w:val="24"/>
        </w:rPr>
        <w:t>explicitly and, as we shall see, purposefully</w:t>
      </w:r>
      <w:r w:rsidR="00856337">
        <w:rPr>
          <w:szCs w:val="24"/>
        </w:rPr>
        <w:t xml:space="preserve">, </w:t>
      </w:r>
      <w:r w:rsidR="00D05ED1" w:rsidRPr="004D1AC3">
        <w:rPr>
          <w:szCs w:val="24"/>
        </w:rPr>
        <w:t xml:space="preserve">deny </w:t>
      </w:r>
      <w:r w:rsidR="00B029D8" w:rsidRPr="004D1AC3">
        <w:rPr>
          <w:szCs w:val="24"/>
        </w:rPr>
        <w:t xml:space="preserve">managers </w:t>
      </w:r>
      <w:r w:rsidR="006344AE">
        <w:rPr>
          <w:szCs w:val="24"/>
        </w:rPr>
        <w:t xml:space="preserve">this “new” </w:t>
      </w:r>
      <w:r w:rsidR="00856337">
        <w:rPr>
          <w:szCs w:val="24"/>
        </w:rPr>
        <w:t xml:space="preserve">constellation </w:t>
      </w:r>
      <w:r w:rsidR="007C60EB">
        <w:rPr>
          <w:szCs w:val="24"/>
        </w:rPr>
        <w:t>of</w:t>
      </w:r>
      <w:r w:rsidR="00D05ED1" w:rsidRPr="004D1AC3">
        <w:rPr>
          <w:szCs w:val="24"/>
        </w:rPr>
        <w:t xml:space="preserve"> rights and freedoms constituting our law of freedom of association</w:t>
      </w:r>
      <w:r w:rsidR="00B029D8" w:rsidRPr="004D1AC3">
        <w:rPr>
          <w:szCs w:val="24"/>
        </w:rPr>
        <w:t xml:space="preserve"> </w:t>
      </w:r>
      <w:r w:rsidR="006D27BF" w:rsidRPr="004D1AC3">
        <w:rPr>
          <w:szCs w:val="24"/>
        </w:rPr>
        <w:t xml:space="preserve">which are </w:t>
      </w:r>
      <w:r w:rsidR="00F975A8" w:rsidRPr="004D1AC3">
        <w:rPr>
          <w:szCs w:val="24"/>
        </w:rPr>
        <w:t xml:space="preserve">made </w:t>
      </w:r>
      <w:r w:rsidR="00B029D8" w:rsidRPr="004D1AC3">
        <w:rPr>
          <w:szCs w:val="24"/>
        </w:rPr>
        <w:t>available</w:t>
      </w:r>
      <w:r w:rsidR="00A847FF" w:rsidRPr="004D1AC3">
        <w:rPr>
          <w:szCs w:val="24"/>
        </w:rPr>
        <w:t xml:space="preserve"> </w:t>
      </w:r>
      <w:r w:rsidR="00B029D8" w:rsidRPr="004D1AC3">
        <w:rPr>
          <w:szCs w:val="24"/>
        </w:rPr>
        <w:t>to non</w:t>
      </w:r>
      <w:r w:rsidR="005E5D88" w:rsidRPr="004D1AC3">
        <w:rPr>
          <w:szCs w:val="24"/>
        </w:rPr>
        <w:t>-</w:t>
      </w:r>
      <w:r w:rsidR="00B029D8" w:rsidRPr="004D1AC3">
        <w:rPr>
          <w:szCs w:val="24"/>
        </w:rPr>
        <w:t>managerial employees</w:t>
      </w:r>
      <w:r w:rsidR="007E7ED1" w:rsidRPr="004D1AC3">
        <w:rPr>
          <w:szCs w:val="24"/>
        </w:rPr>
        <w:t xml:space="preserve"> by our collective bargaining statutes. </w:t>
      </w:r>
      <w:r w:rsidR="00B029D8" w:rsidRPr="004D1AC3">
        <w:rPr>
          <w:szCs w:val="24"/>
        </w:rPr>
        <w:t xml:space="preserve"> That is</w:t>
      </w:r>
      <w:r w:rsidR="00760559">
        <w:rPr>
          <w:szCs w:val="24"/>
        </w:rPr>
        <w:t xml:space="preserve"> what</w:t>
      </w:r>
      <w:r w:rsidR="00AF35B2">
        <w:rPr>
          <w:szCs w:val="24"/>
        </w:rPr>
        <w:t xml:space="preserve"> </w:t>
      </w:r>
      <w:r w:rsidR="00760559">
        <w:rPr>
          <w:szCs w:val="24"/>
        </w:rPr>
        <w:t xml:space="preserve">it is designed to </w:t>
      </w:r>
      <w:r w:rsidR="00D93583">
        <w:rPr>
          <w:szCs w:val="24"/>
        </w:rPr>
        <w:t>do.</w:t>
      </w:r>
      <w:r w:rsidR="004A6383">
        <w:rPr>
          <w:szCs w:val="24"/>
        </w:rPr>
        <w:t xml:space="preserve"> </w:t>
      </w:r>
    </w:p>
    <w:p w14:paraId="303F42A2" w14:textId="77777777" w:rsidR="00C76E85" w:rsidRDefault="00C76E85" w:rsidP="005049B4">
      <w:pPr>
        <w:spacing w:line="240" w:lineRule="auto"/>
        <w:rPr>
          <w:szCs w:val="24"/>
        </w:rPr>
      </w:pPr>
    </w:p>
    <w:p w14:paraId="18C40E82" w14:textId="3A229345" w:rsidR="005E5D88" w:rsidRPr="004D1AC3" w:rsidRDefault="0040556A" w:rsidP="005049B4">
      <w:pPr>
        <w:spacing w:line="240" w:lineRule="auto"/>
        <w:rPr>
          <w:szCs w:val="24"/>
        </w:rPr>
      </w:pPr>
      <w:r>
        <w:rPr>
          <w:szCs w:val="24"/>
        </w:rPr>
        <w:t>Furthermo</w:t>
      </w:r>
      <w:r w:rsidR="000D4DA2">
        <w:rPr>
          <w:szCs w:val="24"/>
        </w:rPr>
        <w:t>r</w:t>
      </w:r>
      <w:r>
        <w:rPr>
          <w:szCs w:val="24"/>
        </w:rPr>
        <w:t>e, th</w:t>
      </w:r>
      <w:r w:rsidR="00760559">
        <w:rPr>
          <w:szCs w:val="24"/>
        </w:rPr>
        <w:t>i</w:t>
      </w:r>
      <w:r w:rsidR="00AF35B2">
        <w:rPr>
          <w:szCs w:val="24"/>
        </w:rPr>
        <w:t xml:space="preserve">s </w:t>
      </w:r>
      <w:r w:rsidR="004A6383">
        <w:rPr>
          <w:szCs w:val="24"/>
        </w:rPr>
        <w:t>exclusion</w:t>
      </w:r>
      <w:r w:rsidR="00AF35B2">
        <w:rPr>
          <w:szCs w:val="24"/>
        </w:rPr>
        <w:t xml:space="preserve"> was put </w:t>
      </w:r>
      <w:r>
        <w:rPr>
          <w:szCs w:val="24"/>
        </w:rPr>
        <w:t>in</w:t>
      </w:r>
      <w:r w:rsidR="00AF35B2">
        <w:rPr>
          <w:szCs w:val="24"/>
        </w:rPr>
        <w:t xml:space="preserve"> place for </w:t>
      </w:r>
      <w:r w:rsidR="00384347">
        <w:rPr>
          <w:szCs w:val="24"/>
        </w:rPr>
        <w:t>a well</w:t>
      </w:r>
      <w:r w:rsidR="00AF35B2">
        <w:rPr>
          <w:szCs w:val="24"/>
        </w:rPr>
        <w:t>-</w:t>
      </w:r>
      <w:r w:rsidR="00384347">
        <w:rPr>
          <w:szCs w:val="24"/>
        </w:rPr>
        <w:t>known</w:t>
      </w:r>
      <w:r w:rsidR="008F2352">
        <w:rPr>
          <w:szCs w:val="24"/>
        </w:rPr>
        <w:t xml:space="preserve"> and well</w:t>
      </w:r>
      <w:r w:rsidR="00AF35B2">
        <w:rPr>
          <w:szCs w:val="24"/>
        </w:rPr>
        <w:t>-</w:t>
      </w:r>
      <w:r w:rsidR="008F2352">
        <w:rPr>
          <w:szCs w:val="24"/>
        </w:rPr>
        <w:t>established</w:t>
      </w:r>
      <w:r w:rsidR="00384347">
        <w:rPr>
          <w:szCs w:val="24"/>
        </w:rPr>
        <w:t xml:space="preserve"> rationale</w:t>
      </w:r>
      <w:r w:rsidR="00D93583">
        <w:rPr>
          <w:szCs w:val="24"/>
        </w:rPr>
        <w:t xml:space="preserve">. </w:t>
      </w:r>
      <w:r w:rsidR="007C60EB">
        <w:rPr>
          <w:szCs w:val="24"/>
        </w:rPr>
        <w:t>Note that e</w:t>
      </w:r>
      <w:r w:rsidR="0025388A" w:rsidRPr="004D1AC3">
        <w:rPr>
          <w:szCs w:val="24"/>
        </w:rPr>
        <w:t>xclusions</w:t>
      </w:r>
      <w:r w:rsidR="00ED4819" w:rsidRPr="004D1AC3">
        <w:rPr>
          <w:szCs w:val="24"/>
        </w:rPr>
        <w:t xml:space="preserve"> from </w:t>
      </w:r>
      <w:r w:rsidR="007E7ED1" w:rsidRPr="004D1AC3">
        <w:rPr>
          <w:szCs w:val="24"/>
        </w:rPr>
        <w:t xml:space="preserve">the </w:t>
      </w:r>
      <w:r w:rsidR="00ED4819" w:rsidRPr="004D1AC3">
        <w:rPr>
          <w:szCs w:val="24"/>
        </w:rPr>
        <w:t xml:space="preserve">statute can be classified as either “rational” </w:t>
      </w:r>
      <w:r w:rsidR="00366C05" w:rsidRPr="00366C05">
        <w:rPr>
          <w:szCs w:val="24"/>
        </w:rPr>
        <w:t>—</w:t>
      </w:r>
      <w:r w:rsidR="00ED4819" w:rsidRPr="004D1AC3">
        <w:rPr>
          <w:szCs w:val="24"/>
        </w:rPr>
        <w:t xml:space="preserve"> meaning that the </w:t>
      </w:r>
      <w:r w:rsidR="00FC4A6B" w:rsidRPr="00FC4A6B">
        <w:rPr>
          <w:szCs w:val="24"/>
        </w:rPr>
        <w:t>rationale</w:t>
      </w:r>
      <w:r w:rsidR="00FC4A6B" w:rsidRPr="00FC4A6B" w:rsidDel="00FC4A6B">
        <w:rPr>
          <w:szCs w:val="24"/>
        </w:rPr>
        <w:t xml:space="preserve"> </w:t>
      </w:r>
      <w:r w:rsidR="00ED4819" w:rsidRPr="004D1AC3">
        <w:rPr>
          <w:szCs w:val="24"/>
        </w:rPr>
        <w:lastRenderedPageBreak/>
        <w:t xml:space="preserve">for the exclusion flows from the </w:t>
      </w:r>
      <w:r w:rsidR="00732BE0" w:rsidRPr="004D1AC3">
        <w:rPr>
          <w:szCs w:val="24"/>
        </w:rPr>
        <w:t xml:space="preserve">logic and </w:t>
      </w:r>
      <w:r w:rsidR="00ED4819" w:rsidRPr="004D1AC3">
        <w:rPr>
          <w:szCs w:val="24"/>
        </w:rPr>
        <w:t xml:space="preserve">purposes of the </w:t>
      </w:r>
      <w:r w:rsidR="000E6BC3" w:rsidRPr="004D1AC3">
        <w:rPr>
          <w:szCs w:val="24"/>
        </w:rPr>
        <w:t xml:space="preserve">statute </w:t>
      </w:r>
      <w:r w:rsidR="007E7ED1" w:rsidRPr="004D1AC3">
        <w:rPr>
          <w:szCs w:val="24"/>
        </w:rPr>
        <w:t>itself</w:t>
      </w:r>
      <w:r w:rsidR="00FC4A6B">
        <w:rPr>
          <w:szCs w:val="24"/>
        </w:rPr>
        <w:t>,</w:t>
      </w:r>
      <w:r w:rsidR="007E7ED1" w:rsidRPr="004D1AC3">
        <w:rPr>
          <w:szCs w:val="24"/>
        </w:rPr>
        <w:t xml:space="preserve"> </w:t>
      </w:r>
      <w:r w:rsidR="00ED4819" w:rsidRPr="004D1AC3">
        <w:rPr>
          <w:szCs w:val="24"/>
        </w:rPr>
        <w:t>or “irrational”</w:t>
      </w:r>
      <w:r w:rsidR="000E6BC3" w:rsidRPr="004D1AC3">
        <w:rPr>
          <w:szCs w:val="24"/>
        </w:rPr>
        <w:t xml:space="preserve"> </w:t>
      </w:r>
      <w:r w:rsidR="00366C05" w:rsidRPr="00366C05">
        <w:rPr>
          <w:szCs w:val="24"/>
        </w:rPr>
        <w:t>—</w:t>
      </w:r>
      <w:r w:rsidR="000E6BC3" w:rsidRPr="004D1AC3">
        <w:rPr>
          <w:szCs w:val="24"/>
        </w:rPr>
        <w:t xml:space="preserve"> meaning that</w:t>
      </w:r>
      <w:r w:rsidR="00227915">
        <w:rPr>
          <w:szCs w:val="24"/>
        </w:rPr>
        <w:t>,</w:t>
      </w:r>
      <w:r w:rsidR="000E6BC3" w:rsidRPr="004D1AC3">
        <w:rPr>
          <w:szCs w:val="24"/>
        </w:rPr>
        <w:t xml:space="preserve"> if a </w:t>
      </w:r>
      <w:r w:rsidR="007E7ED1" w:rsidRPr="004D1AC3">
        <w:rPr>
          <w:szCs w:val="24"/>
        </w:rPr>
        <w:t xml:space="preserve">sound </w:t>
      </w:r>
      <w:r w:rsidR="000E6BC3" w:rsidRPr="004D1AC3">
        <w:rPr>
          <w:szCs w:val="24"/>
        </w:rPr>
        <w:t>rationale for the exclusion</w:t>
      </w:r>
      <w:r w:rsidR="006E068B">
        <w:rPr>
          <w:szCs w:val="24"/>
        </w:rPr>
        <w:t xml:space="preserve"> exists</w:t>
      </w:r>
      <w:r w:rsidR="000E6BC3" w:rsidRPr="004D1AC3">
        <w:rPr>
          <w:szCs w:val="24"/>
        </w:rPr>
        <w:t>, it does not flow from the</w:t>
      </w:r>
      <w:r w:rsidR="00732BE0" w:rsidRPr="004D1AC3">
        <w:rPr>
          <w:szCs w:val="24"/>
        </w:rPr>
        <w:t xml:space="preserve"> statute but from </w:t>
      </w:r>
      <w:r w:rsidR="00F975A8" w:rsidRPr="004D1AC3">
        <w:rPr>
          <w:szCs w:val="24"/>
        </w:rPr>
        <w:t xml:space="preserve">an </w:t>
      </w:r>
      <w:r w:rsidR="00732BE0" w:rsidRPr="004D1AC3">
        <w:rPr>
          <w:szCs w:val="24"/>
        </w:rPr>
        <w:t xml:space="preserve">extraneous source of </w:t>
      </w:r>
      <w:r w:rsidR="00F975A8" w:rsidRPr="004D1AC3">
        <w:rPr>
          <w:szCs w:val="24"/>
        </w:rPr>
        <w:t xml:space="preserve">public </w:t>
      </w:r>
      <w:r w:rsidR="00732BE0" w:rsidRPr="004D1AC3">
        <w:rPr>
          <w:szCs w:val="24"/>
        </w:rPr>
        <w:t>policy inspiration. The managerial excl</w:t>
      </w:r>
      <w:r w:rsidR="00A0339D" w:rsidRPr="004D1AC3">
        <w:rPr>
          <w:szCs w:val="24"/>
        </w:rPr>
        <w:t>usion</w:t>
      </w:r>
      <w:r w:rsidR="00966216" w:rsidRPr="004D1AC3">
        <w:rPr>
          <w:szCs w:val="24"/>
        </w:rPr>
        <w:t xml:space="preserve"> is a </w:t>
      </w:r>
      <w:r w:rsidR="0025388A" w:rsidRPr="004D1AC3">
        <w:rPr>
          <w:szCs w:val="24"/>
        </w:rPr>
        <w:t>“</w:t>
      </w:r>
      <w:r w:rsidR="00966216" w:rsidRPr="004D1AC3">
        <w:rPr>
          <w:szCs w:val="24"/>
        </w:rPr>
        <w:t>rational</w:t>
      </w:r>
      <w:r w:rsidR="0025388A" w:rsidRPr="004D1AC3">
        <w:rPr>
          <w:szCs w:val="24"/>
        </w:rPr>
        <w:t>”</w:t>
      </w:r>
      <w:r w:rsidR="00966216" w:rsidRPr="004D1AC3">
        <w:rPr>
          <w:szCs w:val="24"/>
        </w:rPr>
        <w:t xml:space="preserve"> exclusion.</w:t>
      </w:r>
      <w:r w:rsidR="00F975A8" w:rsidRPr="004D1AC3">
        <w:rPr>
          <w:szCs w:val="24"/>
        </w:rPr>
        <w:t xml:space="preserve"> The reason for its existence is that the purpose</w:t>
      </w:r>
      <w:r w:rsidR="00227915">
        <w:rPr>
          <w:szCs w:val="24"/>
        </w:rPr>
        <w:t>s</w:t>
      </w:r>
      <w:r w:rsidR="00F975A8" w:rsidRPr="004D1AC3">
        <w:rPr>
          <w:szCs w:val="24"/>
        </w:rPr>
        <w:t xml:space="preserve"> of the statute demand that it be there.</w:t>
      </w:r>
      <w:r w:rsidR="004A66AD">
        <w:rPr>
          <w:rStyle w:val="FootnoteReference"/>
          <w:szCs w:val="24"/>
        </w:rPr>
        <w:footnoteReference w:id="9"/>
      </w:r>
      <w:r w:rsidR="00966216" w:rsidRPr="004D1AC3">
        <w:rPr>
          <w:szCs w:val="24"/>
        </w:rPr>
        <w:t xml:space="preserve"> </w:t>
      </w:r>
      <w:r w:rsidR="002C6A08">
        <w:rPr>
          <w:szCs w:val="24"/>
        </w:rPr>
        <w:t xml:space="preserve">Its logic is internal </w:t>
      </w:r>
      <w:r w:rsidR="00BC36C1">
        <w:rPr>
          <w:szCs w:val="24"/>
        </w:rPr>
        <w:t>to the</w:t>
      </w:r>
      <w:r w:rsidR="002C6A08">
        <w:rPr>
          <w:szCs w:val="24"/>
        </w:rPr>
        <w:t xml:space="preserve"> statute.</w:t>
      </w:r>
    </w:p>
    <w:p w14:paraId="5F111DA3" w14:textId="77777777" w:rsidR="005E5D88" w:rsidRPr="004D1AC3" w:rsidRDefault="005E5D88" w:rsidP="005049B4">
      <w:pPr>
        <w:spacing w:line="240" w:lineRule="auto"/>
        <w:rPr>
          <w:szCs w:val="24"/>
        </w:rPr>
      </w:pPr>
    </w:p>
    <w:p w14:paraId="04901659" w14:textId="4EC2FA2C" w:rsidR="003F7927" w:rsidRPr="004D1AC3" w:rsidRDefault="00066C21" w:rsidP="005049B4">
      <w:pPr>
        <w:spacing w:line="240" w:lineRule="auto"/>
        <w:rPr>
          <w:szCs w:val="24"/>
        </w:rPr>
      </w:pPr>
      <w:r>
        <w:rPr>
          <w:szCs w:val="24"/>
        </w:rPr>
        <w:t xml:space="preserve">The purpose of </w:t>
      </w:r>
      <w:r w:rsidR="004A0CD0">
        <w:rPr>
          <w:szCs w:val="24"/>
        </w:rPr>
        <w:t>statute</w:t>
      </w:r>
      <w:r w:rsidR="00705A1D">
        <w:rPr>
          <w:szCs w:val="24"/>
        </w:rPr>
        <w:t>s</w:t>
      </w:r>
      <w:r w:rsidR="004A0CD0">
        <w:rPr>
          <w:szCs w:val="24"/>
        </w:rPr>
        <w:t xml:space="preserve"> is to not only regulate </w:t>
      </w:r>
      <w:r w:rsidR="00F25F05">
        <w:rPr>
          <w:szCs w:val="24"/>
        </w:rPr>
        <w:t xml:space="preserve">collective bargaining between </w:t>
      </w:r>
      <w:r w:rsidR="0093585C">
        <w:rPr>
          <w:szCs w:val="24"/>
        </w:rPr>
        <w:t>employers</w:t>
      </w:r>
      <w:r w:rsidR="00F25F05">
        <w:rPr>
          <w:szCs w:val="24"/>
        </w:rPr>
        <w:t xml:space="preserve"> and </w:t>
      </w:r>
      <w:r w:rsidR="0093585C">
        <w:rPr>
          <w:szCs w:val="24"/>
        </w:rPr>
        <w:t>employees</w:t>
      </w:r>
      <w:r w:rsidR="00F25F05">
        <w:rPr>
          <w:szCs w:val="24"/>
        </w:rPr>
        <w:t xml:space="preserve"> but</w:t>
      </w:r>
      <w:r w:rsidR="0093585C">
        <w:rPr>
          <w:szCs w:val="24"/>
        </w:rPr>
        <w:t xml:space="preserve">, as a precondition, </w:t>
      </w:r>
      <w:r w:rsidR="004A0CD0">
        <w:rPr>
          <w:szCs w:val="24"/>
        </w:rPr>
        <w:t xml:space="preserve">to </w:t>
      </w:r>
      <w:r w:rsidR="00F25208">
        <w:rPr>
          <w:szCs w:val="24"/>
        </w:rPr>
        <w:t xml:space="preserve">provide a </w:t>
      </w:r>
      <w:r w:rsidR="008C3350">
        <w:rPr>
          <w:szCs w:val="24"/>
        </w:rPr>
        <w:t xml:space="preserve">radically new set </w:t>
      </w:r>
      <w:r w:rsidR="00F25208">
        <w:rPr>
          <w:szCs w:val="24"/>
        </w:rPr>
        <w:t xml:space="preserve">of </w:t>
      </w:r>
      <w:r w:rsidR="00EB0634" w:rsidRPr="004D1AC3">
        <w:rPr>
          <w:szCs w:val="24"/>
        </w:rPr>
        <w:t>legally</w:t>
      </w:r>
      <w:r w:rsidR="004B24DE" w:rsidRPr="004D1AC3">
        <w:rPr>
          <w:szCs w:val="24"/>
        </w:rPr>
        <w:t xml:space="preserve"> real</w:t>
      </w:r>
      <w:r w:rsidR="00D15D02">
        <w:rPr>
          <w:szCs w:val="24"/>
        </w:rPr>
        <w:t>, enforceable,</w:t>
      </w:r>
      <w:r w:rsidR="004B24DE" w:rsidRPr="004D1AC3">
        <w:rPr>
          <w:szCs w:val="24"/>
        </w:rPr>
        <w:t xml:space="preserve"> and meaningful </w:t>
      </w:r>
      <w:r w:rsidR="00966216" w:rsidRPr="004D1AC3">
        <w:rPr>
          <w:szCs w:val="24"/>
        </w:rPr>
        <w:t>freedom of association</w:t>
      </w:r>
      <w:r w:rsidR="00F25208">
        <w:rPr>
          <w:szCs w:val="24"/>
        </w:rPr>
        <w:t xml:space="preserve"> rights and freedoms </w:t>
      </w:r>
      <w:r w:rsidR="004B24DE" w:rsidRPr="004D1AC3">
        <w:rPr>
          <w:szCs w:val="24"/>
        </w:rPr>
        <w:t>for Canadian employees</w:t>
      </w:r>
      <w:r w:rsidR="0093585C">
        <w:rPr>
          <w:szCs w:val="24"/>
        </w:rPr>
        <w:t>.</w:t>
      </w:r>
      <w:r w:rsidR="00F25581" w:rsidRPr="004D1AC3">
        <w:rPr>
          <w:szCs w:val="24"/>
        </w:rPr>
        <w:t xml:space="preserve"> </w:t>
      </w:r>
      <w:r w:rsidR="00DC5867">
        <w:rPr>
          <w:szCs w:val="24"/>
        </w:rPr>
        <w:t>O</w:t>
      </w:r>
      <w:r w:rsidR="00F25581" w:rsidRPr="004D1AC3">
        <w:rPr>
          <w:szCs w:val="24"/>
        </w:rPr>
        <w:t>ne of the true giants of Canadian labour law, Paul Weiler, best articulated th</w:t>
      </w:r>
      <w:r w:rsidR="002C6A08">
        <w:rPr>
          <w:szCs w:val="24"/>
        </w:rPr>
        <w:t>e</w:t>
      </w:r>
      <w:r w:rsidR="00F25581" w:rsidRPr="004D1AC3">
        <w:rPr>
          <w:szCs w:val="24"/>
        </w:rPr>
        <w:t xml:space="preserve"> </w:t>
      </w:r>
      <w:r w:rsidR="00F95BA3" w:rsidRPr="004D1AC3">
        <w:rPr>
          <w:szCs w:val="24"/>
        </w:rPr>
        <w:t xml:space="preserve">internal </w:t>
      </w:r>
      <w:r w:rsidR="00F25581" w:rsidRPr="004D1AC3">
        <w:rPr>
          <w:szCs w:val="24"/>
        </w:rPr>
        <w:t>rationale</w:t>
      </w:r>
      <w:r w:rsidR="00342600">
        <w:rPr>
          <w:szCs w:val="24"/>
        </w:rPr>
        <w:t xml:space="preserve"> </w:t>
      </w:r>
      <w:r w:rsidR="002C6A08">
        <w:rPr>
          <w:szCs w:val="24"/>
        </w:rPr>
        <w:t xml:space="preserve">for the </w:t>
      </w:r>
      <w:r w:rsidR="00BC36C1">
        <w:rPr>
          <w:szCs w:val="24"/>
        </w:rPr>
        <w:t>exclusion</w:t>
      </w:r>
      <w:r w:rsidR="00E34EF0">
        <w:rPr>
          <w:szCs w:val="24"/>
        </w:rPr>
        <w:t xml:space="preserve"> </w:t>
      </w:r>
      <w:r w:rsidR="00342600">
        <w:rPr>
          <w:szCs w:val="24"/>
        </w:rPr>
        <w:t>w</w:t>
      </w:r>
      <w:r w:rsidR="00F25581" w:rsidRPr="004D1AC3">
        <w:rPr>
          <w:szCs w:val="24"/>
        </w:rPr>
        <w:t xml:space="preserve">hen </w:t>
      </w:r>
      <w:r w:rsidR="00DB2ED2">
        <w:rPr>
          <w:szCs w:val="24"/>
        </w:rPr>
        <w:t>he</w:t>
      </w:r>
      <w:r w:rsidR="006E199A">
        <w:rPr>
          <w:szCs w:val="24"/>
        </w:rPr>
        <w:t>,</w:t>
      </w:r>
      <w:r w:rsidR="00E83D48">
        <w:rPr>
          <w:szCs w:val="24"/>
        </w:rPr>
        <w:t xml:space="preserve"> as</w:t>
      </w:r>
      <w:r w:rsidR="00FA6303" w:rsidRPr="004D1AC3">
        <w:rPr>
          <w:szCs w:val="24"/>
        </w:rPr>
        <w:t xml:space="preserve"> Chair of the </w:t>
      </w:r>
      <w:r w:rsidR="00F46C68" w:rsidRPr="00F46C68">
        <w:rPr>
          <w:szCs w:val="24"/>
        </w:rPr>
        <w:t>BC Labour Relations Board</w:t>
      </w:r>
      <w:r w:rsidR="004A79F3">
        <w:rPr>
          <w:szCs w:val="24"/>
        </w:rPr>
        <w:t>,</w:t>
      </w:r>
      <w:r w:rsidR="00F46C68" w:rsidRPr="00F46C68">
        <w:rPr>
          <w:szCs w:val="24"/>
        </w:rPr>
        <w:t xml:space="preserve"> </w:t>
      </w:r>
      <w:r w:rsidR="00FA6303" w:rsidRPr="004D1AC3">
        <w:rPr>
          <w:szCs w:val="24"/>
        </w:rPr>
        <w:t xml:space="preserve">offered his understanding of </w:t>
      </w:r>
      <w:r w:rsidR="00232324">
        <w:rPr>
          <w:szCs w:val="24"/>
        </w:rPr>
        <w:t xml:space="preserve">the </w:t>
      </w:r>
      <w:r w:rsidR="00FA6303" w:rsidRPr="004D1AC3">
        <w:rPr>
          <w:szCs w:val="24"/>
        </w:rPr>
        <w:t xml:space="preserve">exclusion in </w:t>
      </w:r>
      <w:r w:rsidR="00986B31" w:rsidRPr="00BF3F2A">
        <w:rPr>
          <w:i/>
          <w:iCs/>
        </w:rPr>
        <w:t>Burnaby (District of) v CUPE, Local 23</w:t>
      </w:r>
      <w:r w:rsidR="007E19F6" w:rsidRPr="00E25C33">
        <w:rPr>
          <w:rStyle w:val="FootnoteReference"/>
          <w:szCs w:val="24"/>
        </w:rPr>
        <w:footnoteReference w:id="10"/>
      </w:r>
      <w:r w:rsidR="00FA6303" w:rsidRPr="00E25C33">
        <w:rPr>
          <w:szCs w:val="24"/>
        </w:rPr>
        <w:t xml:space="preserve"> </w:t>
      </w:r>
      <w:r w:rsidR="001D49D2" w:rsidRPr="00366C05">
        <w:rPr>
          <w:szCs w:val="24"/>
        </w:rPr>
        <w:t>—</w:t>
      </w:r>
      <w:r w:rsidR="00FA6303" w:rsidRPr="004D1AC3">
        <w:rPr>
          <w:szCs w:val="24"/>
        </w:rPr>
        <w:t xml:space="preserve"> a case read by generations of law students</w:t>
      </w:r>
      <w:r w:rsidR="00EB0634" w:rsidRPr="004D1AC3">
        <w:rPr>
          <w:szCs w:val="24"/>
        </w:rPr>
        <w:t>.</w:t>
      </w:r>
      <w:r w:rsidR="00A934A0" w:rsidRPr="004D1AC3">
        <w:rPr>
          <w:szCs w:val="24"/>
        </w:rPr>
        <w:t xml:space="preserve"> Weiler </w:t>
      </w:r>
      <w:r w:rsidR="00084FBA" w:rsidRPr="004D1AC3">
        <w:rPr>
          <w:szCs w:val="24"/>
        </w:rPr>
        <w:t>showed</w:t>
      </w:r>
      <w:r w:rsidR="00842B83" w:rsidRPr="004D1AC3">
        <w:rPr>
          <w:szCs w:val="24"/>
        </w:rPr>
        <w:t xml:space="preserve"> that th</w:t>
      </w:r>
      <w:r w:rsidR="00F95BA3" w:rsidRPr="004D1AC3">
        <w:rPr>
          <w:szCs w:val="24"/>
        </w:rPr>
        <w:t xml:space="preserve">e rationale </w:t>
      </w:r>
      <w:r w:rsidR="005862CF">
        <w:rPr>
          <w:szCs w:val="24"/>
        </w:rPr>
        <w:t>does have</w:t>
      </w:r>
      <w:r w:rsidR="00F95BA3" w:rsidRPr="004D1AC3">
        <w:rPr>
          <w:szCs w:val="24"/>
        </w:rPr>
        <w:t xml:space="preserve"> two dimensions </w:t>
      </w:r>
      <w:r w:rsidR="001B65A7" w:rsidRPr="00366C05">
        <w:rPr>
          <w:szCs w:val="24"/>
        </w:rPr>
        <w:t>—</w:t>
      </w:r>
      <w:r w:rsidR="00F95BA3" w:rsidRPr="004D1AC3">
        <w:rPr>
          <w:szCs w:val="24"/>
        </w:rPr>
        <w:t xml:space="preserve"> </w:t>
      </w:r>
      <w:r w:rsidR="00842B83" w:rsidRPr="004D1AC3">
        <w:rPr>
          <w:szCs w:val="24"/>
        </w:rPr>
        <w:t>on</w:t>
      </w:r>
      <w:r w:rsidR="0050146D" w:rsidRPr="004D1AC3">
        <w:rPr>
          <w:szCs w:val="24"/>
        </w:rPr>
        <w:t>e</w:t>
      </w:r>
      <w:r w:rsidR="00842B83" w:rsidRPr="004D1AC3">
        <w:rPr>
          <w:szCs w:val="24"/>
        </w:rPr>
        <w:t xml:space="preserve"> </w:t>
      </w:r>
      <w:r w:rsidR="00F509DE">
        <w:rPr>
          <w:szCs w:val="24"/>
        </w:rPr>
        <w:t xml:space="preserve">which seems </w:t>
      </w:r>
      <w:r w:rsidR="00842B83" w:rsidRPr="004D1AC3">
        <w:rPr>
          <w:szCs w:val="24"/>
        </w:rPr>
        <w:t>obvious and one</w:t>
      </w:r>
      <w:r w:rsidR="00927F49" w:rsidRPr="004D1AC3">
        <w:rPr>
          <w:szCs w:val="24"/>
        </w:rPr>
        <w:t>, perhaps for some, more</w:t>
      </w:r>
      <w:r w:rsidR="00842B83" w:rsidRPr="004D1AC3">
        <w:rPr>
          <w:szCs w:val="24"/>
        </w:rPr>
        <w:t xml:space="preserve"> subtle</w:t>
      </w:r>
      <w:r w:rsidR="00084FBA" w:rsidRPr="004D1AC3">
        <w:rPr>
          <w:szCs w:val="24"/>
        </w:rPr>
        <w:t xml:space="preserve">. The first and obvious </w:t>
      </w:r>
      <w:r w:rsidR="00F277AE" w:rsidRPr="004D1AC3">
        <w:rPr>
          <w:szCs w:val="24"/>
        </w:rPr>
        <w:t>rationale is that in order for collective bargaining to work</w:t>
      </w:r>
      <w:r w:rsidR="006E199A">
        <w:rPr>
          <w:szCs w:val="24"/>
        </w:rPr>
        <w:t>,</w:t>
      </w:r>
      <w:r w:rsidR="00F277AE" w:rsidRPr="004D1AC3">
        <w:rPr>
          <w:szCs w:val="24"/>
        </w:rPr>
        <w:t xml:space="preserve"> </w:t>
      </w:r>
      <w:r w:rsidR="0078644E" w:rsidRPr="004D1AC3">
        <w:rPr>
          <w:szCs w:val="24"/>
        </w:rPr>
        <w:t>an</w:t>
      </w:r>
      <w:r w:rsidR="00F277AE" w:rsidRPr="004D1AC3">
        <w:rPr>
          <w:szCs w:val="24"/>
        </w:rPr>
        <w:t xml:space="preserve"> employer</w:t>
      </w:r>
      <w:r w:rsidR="00501439" w:rsidRPr="004D1AC3">
        <w:rPr>
          <w:szCs w:val="24"/>
        </w:rPr>
        <w:t xml:space="preserve"> requires the </w:t>
      </w:r>
      <w:r w:rsidR="0024492B" w:rsidRPr="004D1AC3">
        <w:rPr>
          <w:szCs w:val="24"/>
        </w:rPr>
        <w:t>undivided</w:t>
      </w:r>
      <w:r w:rsidR="00F16915" w:rsidRPr="004D1AC3">
        <w:rPr>
          <w:szCs w:val="24"/>
        </w:rPr>
        <w:t xml:space="preserve"> loyalty of a cadre of </w:t>
      </w:r>
      <w:r w:rsidR="0024492B" w:rsidRPr="004D1AC3">
        <w:rPr>
          <w:szCs w:val="24"/>
        </w:rPr>
        <w:t xml:space="preserve">senior </w:t>
      </w:r>
      <w:r w:rsidR="00F16915" w:rsidRPr="004D1AC3">
        <w:rPr>
          <w:szCs w:val="24"/>
        </w:rPr>
        <w:t>employees</w:t>
      </w:r>
      <w:r w:rsidR="0050146D" w:rsidRPr="004D1AC3">
        <w:rPr>
          <w:szCs w:val="24"/>
        </w:rPr>
        <w:t>, operating at arm</w:t>
      </w:r>
      <w:r w:rsidR="006C392C">
        <w:rPr>
          <w:szCs w:val="24"/>
        </w:rPr>
        <w:t>’</w:t>
      </w:r>
      <w:r w:rsidR="0050146D" w:rsidRPr="004D1AC3">
        <w:rPr>
          <w:szCs w:val="24"/>
        </w:rPr>
        <w:t xml:space="preserve">s length from </w:t>
      </w:r>
      <w:r w:rsidR="00C376CC" w:rsidRPr="004D1AC3">
        <w:rPr>
          <w:szCs w:val="24"/>
        </w:rPr>
        <w:t xml:space="preserve">the </w:t>
      </w:r>
      <w:r w:rsidR="0050146D" w:rsidRPr="004D1AC3">
        <w:rPr>
          <w:szCs w:val="24"/>
        </w:rPr>
        <w:t>union</w:t>
      </w:r>
      <w:r w:rsidR="0078644E" w:rsidRPr="004D1AC3">
        <w:rPr>
          <w:szCs w:val="24"/>
        </w:rPr>
        <w:t>,</w:t>
      </w:r>
      <w:r w:rsidR="00F16915" w:rsidRPr="004D1AC3">
        <w:rPr>
          <w:szCs w:val="24"/>
        </w:rPr>
        <w:t xml:space="preserve"> to</w:t>
      </w:r>
      <w:r w:rsidR="00842B83" w:rsidRPr="004D1AC3">
        <w:rPr>
          <w:szCs w:val="24"/>
        </w:rPr>
        <w:t xml:space="preserve"> </w:t>
      </w:r>
      <w:r w:rsidR="0024492B" w:rsidRPr="004D1AC3">
        <w:rPr>
          <w:szCs w:val="24"/>
        </w:rPr>
        <w:t>advance</w:t>
      </w:r>
      <w:r w:rsidR="00C376CC" w:rsidRPr="004D1AC3">
        <w:rPr>
          <w:szCs w:val="24"/>
        </w:rPr>
        <w:t xml:space="preserve"> </w:t>
      </w:r>
      <w:r w:rsidR="0024492B" w:rsidRPr="004D1AC3">
        <w:rPr>
          <w:szCs w:val="24"/>
        </w:rPr>
        <w:t>its interest</w:t>
      </w:r>
      <w:r w:rsidR="00C620BC" w:rsidRPr="004D1AC3">
        <w:rPr>
          <w:szCs w:val="24"/>
        </w:rPr>
        <w:t>s, and only its interests</w:t>
      </w:r>
      <w:r w:rsidR="00E83D48">
        <w:rPr>
          <w:szCs w:val="24"/>
        </w:rPr>
        <w:t>,</w:t>
      </w:r>
      <w:r w:rsidR="0024492B" w:rsidRPr="004D1AC3">
        <w:rPr>
          <w:szCs w:val="24"/>
        </w:rPr>
        <w:t xml:space="preserve"> at the bargaining table and </w:t>
      </w:r>
      <w:r w:rsidR="00E975B9">
        <w:rPr>
          <w:szCs w:val="24"/>
        </w:rPr>
        <w:t>in</w:t>
      </w:r>
      <w:r w:rsidR="006E199A">
        <w:rPr>
          <w:szCs w:val="24"/>
        </w:rPr>
        <w:t xml:space="preserve"> </w:t>
      </w:r>
      <w:r w:rsidR="002A663E" w:rsidRPr="004D1AC3">
        <w:rPr>
          <w:szCs w:val="24"/>
        </w:rPr>
        <w:t xml:space="preserve">the </w:t>
      </w:r>
      <w:r w:rsidR="0024492B" w:rsidRPr="004D1AC3">
        <w:rPr>
          <w:szCs w:val="24"/>
        </w:rPr>
        <w:t>work</w:t>
      </w:r>
      <w:r w:rsidR="002A663E" w:rsidRPr="004D1AC3">
        <w:rPr>
          <w:szCs w:val="24"/>
        </w:rPr>
        <w:t>place</w:t>
      </w:r>
      <w:r w:rsidR="0024492B" w:rsidRPr="004D1AC3">
        <w:rPr>
          <w:szCs w:val="24"/>
        </w:rPr>
        <w:t>.</w:t>
      </w:r>
      <w:r w:rsidR="00152EDB">
        <w:rPr>
          <w:rStyle w:val="FootnoteReference"/>
          <w:szCs w:val="24"/>
        </w:rPr>
        <w:footnoteReference w:id="11"/>
      </w:r>
      <w:r w:rsidR="0024492B" w:rsidRPr="004D1AC3">
        <w:rPr>
          <w:szCs w:val="24"/>
        </w:rPr>
        <w:t xml:space="preserve"> The </w:t>
      </w:r>
      <w:r w:rsidR="00E975B9">
        <w:rPr>
          <w:szCs w:val="24"/>
        </w:rPr>
        <w:t xml:space="preserve">second and perhaps </w:t>
      </w:r>
      <w:r w:rsidR="0024492B" w:rsidRPr="004D1AC3">
        <w:rPr>
          <w:szCs w:val="24"/>
        </w:rPr>
        <w:t xml:space="preserve">more </w:t>
      </w:r>
      <w:r w:rsidR="00A56188" w:rsidRPr="004D1AC3">
        <w:rPr>
          <w:szCs w:val="24"/>
        </w:rPr>
        <w:t>subtle</w:t>
      </w:r>
      <w:r w:rsidR="002B0345">
        <w:rPr>
          <w:szCs w:val="24"/>
        </w:rPr>
        <w:t xml:space="preserve"> but more </w:t>
      </w:r>
      <w:r w:rsidR="00F62B65">
        <w:rPr>
          <w:szCs w:val="24"/>
        </w:rPr>
        <w:t>important</w:t>
      </w:r>
      <w:r w:rsidR="0024492B" w:rsidRPr="004D1AC3">
        <w:rPr>
          <w:szCs w:val="24"/>
        </w:rPr>
        <w:t xml:space="preserve"> reason is that </w:t>
      </w:r>
      <w:r w:rsidR="005862CF">
        <w:rPr>
          <w:szCs w:val="24"/>
        </w:rPr>
        <w:t>the exclusion</w:t>
      </w:r>
      <w:r w:rsidR="0024492B" w:rsidRPr="004D1AC3">
        <w:rPr>
          <w:szCs w:val="24"/>
        </w:rPr>
        <w:t xml:space="preserve"> protects the freedom of association rights of non-managerial employees</w:t>
      </w:r>
      <w:r w:rsidR="00A56188" w:rsidRPr="004D1AC3">
        <w:rPr>
          <w:szCs w:val="24"/>
        </w:rPr>
        <w:t xml:space="preserve"> from interference by managerial employees.</w:t>
      </w:r>
      <w:r w:rsidR="0023628A">
        <w:rPr>
          <w:rStyle w:val="FootnoteReference"/>
          <w:szCs w:val="24"/>
        </w:rPr>
        <w:footnoteReference w:id="12"/>
      </w:r>
      <w:r w:rsidR="00A56188" w:rsidRPr="004D1AC3">
        <w:rPr>
          <w:szCs w:val="24"/>
        </w:rPr>
        <w:t xml:space="preserve"> </w:t>
      </w:r>
      <w:r w:rsidR="003366BE" w:rsidRPr="004D1AC3">
        <w:rPr>
          <w:szCs w:val="24"/>
        </w:rPr>
        <w:t>If we ne</w:t>
      </w:r>
      <w:r w:rsidR="002A663E" w:rsidRPr="004D1AC3">
        <w:rPr>
          <w:szCs w:val="24"/>
        </w:rPr>
        <w:t>e</w:t>
      </w:r>
      <w:r w:rsidR="003366BE" w:rsidRPr="004D1AC3">
        <w:rPr>
          <w:szCs w:val="24"/>
        </w:rPr>
        <w:t>d</w:t>
      </w:r>
      <w:r w:rsidR="0078644E" w:rsidRPr="004D1AC3">
        <w:rPr>
          <w:szCs w:val="24"/>
        </w:rPr>
        <w:t>ed</w:t>
      </w:r>
      <w:r w:rsidR="003366BE" w:rsidRPr="004D1AC3">
        <w:rPr>
          <w:szCs w:val="24"/>
        </w:rPr>
        <w:t xml:space="preserve"> reminding</w:t>
      </w:r>
      <w:r w:rsidR="002A663E" w:rsidRPr="004D1AC3">
        <w:rPr>
          <w:szCs w:val="24"/>
        </w:rPr>
        <w:t xml:space="preserve"> of the fact,</w:t>
      </w:r>
      <w:r w:rsidR="0078644E" w:rsidRPr="004D1AC3">
        <w:rPr>
          <w:szCs w:val="24"/>
        </w:rPr>
        <w:t xml:space="preserve"> which we </w:t>
      </w:r>
      <w:r w:rsidR="00DE2163" w:rsidRPr="004D1AC3">
        <w:rPr>
          <w:szCs w:val="24"/>
        </w:rPr>
        <w:t>didn’t, the</w:t>
      </w:r>
      <w:r w:rsidR="003366BE" w:rsidRPr="004D1AC3">
        <w:rPr>
          <w:szCs w:val="24"/>
        </w:rPr>
        <w:t xml:space="preserve"> recent </w:t>
      </w:r>
      <w:r w:rsidR="00512B97" w:rsidRPr="00F41FC9">
        <w:rPr>
          <w:i/>
          <w:iCs/>
        </w:rPr>
        <w:t>Mounted Police Association of Ontario v Canada (AG)</w:t>
      </w:r>
      <w:bookmarkStart w:id="4" w:name="_Ref178273613"/>
      <w:r w:rsidR="005354C4" w:rsidRPr="004D1AC3">
        <w:rPr>
          <w:rStyle w:val="FootnoteReference"/>
          <w:szCs w:val="24"/>
        </w:rPr>
        <w:footnoteReference w:id="13"/>
      </w:r>
      <w:bookmarkEnd w:id="4"/>
      <w:r w:rsidR="003366BE" w:rsidRPr="004D1AC3">
        <w:rPr>
          <w:szCs w:val="24"/>
        </w:rPr>
        <w:t xml:space="preserve"> decision makes</w:t>
      </w:r>
      <w:r w:rsidR="002A663E" w:rsidRPr="004D1AC3">
        <w:rPr>
          <w:szCs w:val="24"/>
        </w:rPr>
        <w:t xml:space="preserve"> </w:t>
      </w:r>
      <w:r w:rsidR="003366BE" w:rsidRPr="004D1AC3">
        <w:rPr>
          <w:szCs w:val="24"/>
        </w:rPr>
        <w:t xml:space="preserve">it clear that the problem </w:t>
      </w:r>
      <w:r w:rsidR="002E7A85" w:rsidRPr="004D1AC3">
        <w:rPr>
          <w:szCs w:val="24"/>
        </w:rPr>
        <w:t>(</w:t>
      </w:r>
      <w:r w:rsidR="006A2F13" w:rsidRPr="004D1AC3">
        <w:rPr>
          <w:szCs w:val="24"/>
        </w:rPr>
        <w:t>i.e.</w:t>
      </w:r>
      <w:r w:rsidR="002E7A85" w:rsidRPr="004D1AC3">
        <w:rPr>
          <w:szCs w:val="24"/>
        </w:rPr>
        <w:t xml:space="preserve"> impact on non-managerial employees) </w:t>
      </w:r>
      <w:r w:rsidR="003366BE" w:rsidRPr="004D1AC3">
        <w:rPr>
          <w:szCs w:val="24"/>
        </w:rPr>
        <w:t xml:space="preserve">of management involvement in unions </w:t>
      </w:r>
      <w:r w:rsidR="00C376CC" w:rsidRPr="004D1AC3">
        <w:rPr>
          <w:szCs w:val="24"/>
        </w:rPr>
        <w:t>has long been</w:t>
      </w:r>
      <w:r w:rsidR="00E975B9">
        <w:rPr>
          <w:szCs w:val="24"/>
        </w:rPr>
        <w:t>,</w:t>
      </w:r>
      <w:r w:rsidR="00C376CC" w:rsidRPr="004D1AC3">
        <w:rPr>
          <w:szCs w:val="24"/>
        </w:rPr>
        <w:t xml:space="preserve"> and </w:t>
      </w:r>
      <w:r w:rsidR="003366BE" w:rsidRPr="004D1AC3">
        <w:rPr>
          <w:szCs w:val="24"/>
        </w:rPr>
        <w:t>is still</w:t>
      </w:r>
      <w:r w:rsidR="00E975B9">
        <w:rPr>
          <w:szCs w:val="24"/>
        </w:rPr>
        <w:t>,</w:t>
      </w:r>
      <w:r w:rsidR="003366BE" w:rsidRPr="004D1AC3">
        <w:rPr>
          <w:szCs w:val="24"/>
        </w:rPr>
        <w:t xml:space="preserve"> with us. </w:t>
      </w:r>
      <w:r w:rsidR="00A06FB0" w:rsidRPr="004D1AC3">
        <w:rPr>
          <w:szCs w:val="24"/>
        </w:rPr>
        <w:t xml:space="preserve">Under clearly </w:t>
      </w:r>
      <w:r w:rsidR="0042131C" w:rsidRPr="004D1AC3">
        <w:rPr>
          <w:szCs w:val="24"/>
        </w:rPr>
        <w:t>established</w:t>
      </w:r>
      <w:r w:rsidR="00A06FB0" w:rsidRPr="004D1AC3">
        <w:rPr>
          <w:szCs w:val="24"/>
        </w:rPr>
        <w:t xml:space="preserve"> case law</w:t>
      </w:r>
      <w:r w:rsidR="0023628A">
        <w:rPr>
          <w:szCs w:val="24"/>
        </w:rPr>
        <w:t>,</w:t>
      </w:r>
      <w:r w:rsidR="00A06FB0" w:rsidRPr="004D1AC3">
        <w:rPr>
          <w:szCs w:val="24"/>
        </w:rPr>
        <w:t xml:space="preserve"> i</w:t>
      </w:r>
      <w:r w:rsidR="00A56188" w:rsidRPr="004D1AC3">
        <w:rPr>
          <w:szCs w:val="24"/>
        </w:rPr>
        <w:t>t makes no difference</w:t>
      </w:r>
      <w:r w:rsidR="00D81678">
        <w:rPr>
          <w:szCs w:val="24"/>
        </w:rPr>
        <w:t>,</w:t>
      </w:r>
      <w:r w:rsidR="00A56188" w:rsidRPr="004D1AC3">
        <w:rPr>
          <w:szCs w:val="24"/>
        </w:rPr>
        <w:t xml:space="preserve"> under this two-fold rationale</w:t>
      </w:r>
      <w:r w:rsidR="00D81678">
        <w:rPr>
          <w:szCs w:val="24"/>
        </w:rPr>
        <w:t>,</w:t>
      </w:r>
      <w:r w:rsidR="00A56188" w:rsidRPr="004D1AC3">
        <w:rPr>
          <w:szCs w:val="24"/>
        </w:rPr>
        <w:t xml:space="preserve"> whether the managers ask to have their own bargaining </w:t>
      </w:r>
      <w:r w:rsidR="00E834F2" w:rsidRPr="004D1AC3">
        <w:rPr>
          <w:szCs w:val="24"/>
        </w:rPr>
        <w:t>unit or</w:t>
      </w:r>
      <w:r w:rsidR="00A06FB0" w:rsidRPr="004D1AC3">
        <w:rPr>
          <w:szCs w:val="24"/>
        </w:rPr>
        <w:t xml:space="preserve"> </w:t>
      </w:r>
      <w:r w:rsidR="00357642">
        <w:rPr>
          <w:szCs w:val="24"/>
        </w:rPr>
        <w:t xml:space="preserve">ask to be </w:t>
      </w:r>
      <w:r w:rsidR="00101AE5" w:rsidRPr="004D1AC3">
        <w:rPr>
          <w:szCs w:val="24"/>
        </w:rPr>
        <w:t xml:space="preserve">represented by another union </w:t>
      </w:r>
      <w:r w:rsidR="00FC79AF">
        <w:rPr>
          <w:szCs w:val="24"/>
        </w:rPr>
        <w:t xml:space="preserve">than </w:t>
      </w:r>
      <w:r w:rsidR="00101AE5" w:rsidRPr="004D1AC3">
        <w:rPr>
          <w:szCs w:val="24"/>
        </w:rPr>
        <w:t>th</w:t>
      </w:r>
      <w:r w:rsidR="00FC79AF">
        <w:rPr>
          <w:szCs w:val="24"/>
        </w:rPr>
        <w:t xml:space="preserve">e one </w:t>
      </w:r>
      <w:r w:rsidR="00101AE5" w:rsidRPr="004D1AC3">
        <w:rPr>
          <w:szCs w:val="24"/>
        </w:rPr>
        <w:t>represent</w:t>
      </w:r>
      <w:r w:rsidR="00FC79AF">
        <w:rPr>
          <w:szCs w:val="24"/>
        </w:rPr>
        <w:t xml:space="preserve">ing </w:t>
      </w:r>
      <w:r w:rsidR="00101AE5" w:rsidRPr="004D1AC3">
        <w:rPr>
          <w:szCs w:val="24"/>
        </w:rPr>
        <w:t>the non</w:t>
      </w:r>
      <w:r w:rsidR="00FD7064" w:rsidRPr="004D1AC3">
        <w:rPr>
          <w:szCs w:val="24"/>
        </w:rPr>
        <w:t>-</w:t>
      </w:r>
      <w:r w:rsidR="00101AE5" w:rsidRPr="004D1AC3">
        <w:rPr>
          <w:szCs w:val="24"/>
        </w:rPr>
        <w:t>managerial workers.</w:t>
      </w:r>
      <w:r w:rsidR="0042131C" w:rsidRPr="004D1AC3">
        <w:rPr>
          <w:szCs w:val="24"/>
        </w:rPr>
        <w:t xml:space="preserve"> This is</w:t>
      </w:r>
      <w:r w:rsidR="00FD7064" w:rsidRPr="004D1AC3">
        <w:rPr>
          <w:szCs w:val="24"/>
        </w:rPr>
        <w:t xml:space="preserve"> so</w:t>
      </w:r>
      <w:r w:rsidR="0042131C" w:rsidRPr="004D1AC3">
        <w:rPr>
          <w:szCs w:val="24"/>
        </w:rPr>
        <w:t xml:space="preserve"> </w:t>
      </w:r>
      <w:r w:rsidR="00AA459C">
        <w:rPr>
          <w:szCs w:val="24"/>
        </w:rPr>
        <w:t xml:space="preserve">both </w:t>
      </w:r>
      <w:r w:rsidR="0042131C" w:rsidRPr="004D1AC3">
        <w:rPr>
          <w:szCs w:val="24"/>
        </w:rPr>
        <w:t xml:space="preserve">in </w:t>
      </w:r>
      <w:r w:rsidR="00C61171" w:rsidRPr="004D1AC3">
        <w:rPr>
          <w:szCs w:val="24"/>
        </w:rPr>
        <w:t>jurisdiction</w:t>
      </w:r>
      <w:r w:rsidR="00FD7064" w:rsidRPr="004D1AC3">
        <w:rPr>
          <w:szCs w:val="24"/>
        </w:rPr>
        <w:t>s</w:t>
      </w:r>
      <w:r w:rsidR="0042131C" w:rsidRPr="004D1AC3">
        <w:rPr>
          <w:szCs w:val="24"/>
        </w:rPr>
        <w:t xml:space="preserve"> which are said to have a narrower </w:t>
      </w:r>
      <w:r w:rsidR="00C61171" w:rsidRPr="004D1AC3">
        <w:rPr>
          <w:szCs w:val="24"/>
        </w:rPr>
        <w:t>interpretation of the exclusion</w:t>
      </w:r>
      <w:r w:rsidR="00895312" w:rsidRPr="004D1AC3">
        <w:rPr>
          <w:rStyle w:val="FootnoteReference"/>
          <w:szCs w:val="24"/>
        </w:rPr>
        <w:footnoteReference w:id="14"/>
      </w:r>
      <w:r w:rsidR="00C61171" w:rsidRPr="004D1AC3">
        <w:rPr>
          <w:szCs w:val="24"/>
        </w:rPr>
        <w:t xml:space="preserve"> and those with a broader view</w:t>
      </w:r>
      <w:r w:rsidR="006A2F13">
        <w:rPr>
          <w:szCs w:val="24"/>
        </w:rPr>
        <w:t>.</w:t>
      </w:r>
      <w:bookmarkStart w:id="5" w:name="_Ref178514922"/>
      <w:r w:rsidR="001C30B0" w:rsidRPr="004D1AC3">
        <w:rPr>
          <w:rStyle w:val="FootnoteReference"/>
          <w:szCs w:val="24"/>
        </w:rPr>
        <w:footnoteReference w:id="15"/>
      </w:r>
      <w:bookmarkEnd w:id="5"/>
      <w:r w:rsidR="00FD7064" w:rsidRPr="004D1AC3">
        <w:rPr>
          <w:szCs w:val="24"/>
        </w:rPr>
        <w:t xml:space="preserve"> </w:t>
      </w:r>
      <w:r w:rsidR="00952ADA">
        <w:rPr>
          <w:szCs w:val="24"/>
        </w:rPr>
        <w:t>Even when a request i</w:t>
      </w:r>
      <w:r w:rsidR="006E199A">
        <w:rPr>
          <w:szCs w:val="24"/>
        </w:rPr>
        <w:t>s</w:t>
      </w:r>
      <w:r w:rsidR="00952ADA">
        <w:rPr>
          <w:szCs w:val="24"/>
        </w:rPr>
        <w:t xml:space="preserve"> for a separate unit represented by a separate union</w:t>
      </w:r>
      <w:r w:rsidR="006E199A">
        <w:rPr>
          <w:szCs w:val="24"/>
        </w:rPr>
        <w:t>,</w:t>
      </w:r>
      <w:r w:rsidR="00952ADA">
        <w:rPr>
          <w:szCs w:val="24"/>
        </w:rPr>
        <w:t xml:space="preserve"> the </w:t>
      </w:r>
      <w:r w:rsidR="00FD7064" w:rsidRPr="004D1AC3">
        <w:rPr>
          <w:szCs w:val="24"/>
        </w:rPr>
        <w:t>exclusion</w:t>
      </w:r>
      <w:r w:rsidR="008D0700" w:rsidRPr="004D1AC3">
        <w:rPr>
          <w:szCs w:val="24"/>
        </w:rPr>
        <w:t xml:space="preserve"> </w:t>
      </w:r>
      <w:r w:rsidR="00FD7064" w:rsidRPr="004D1AC3">
        <w:rPr>
          <w:szCs w:val="24"/>
        </w:rPr>
        <w:t>is still applied</w:t>
      </w:r>
      <w:r w:rsidR="008D0700" w:rsidRPr="004D1AC3">
        <w:rPr>
          <w:szCs w:val="24"/>
        </w:rPr>
        <w:t xml:space="preserve"> if the test for managerial functions, however broad or narrow it is, is met</w:t>
      </w:r>
      <w:r w:rsidR="00FD7064" w:rsidRPr="004D1AC3">
        <w:rPr>
          <w:szCs w:val="24"/>
        </w:rPr>
        <w:t>.</w:t>
      </w:r>
      <w:r w:rsidR="004C7BD4" w:rsidRPr="004D1AC3">
        <w:rPr>
          <w:szCs w:val="24"/>
        </w:rPr>
        <w:t xml:space="preserve"> </w:t>
      </w:r>
      <w:r w:rsidR="00A848BC" w:rsidRPr="004D1AC3">
        <w:rPr>
          <w:szCs w:val="24"/>
        </w:rPr>
        <w:t xml:space="preserve">This is clearly the law </w:t>
      </w:r>
      <w:r w:rsidR="00BA59F2" w:rsidRPr="00366C05">
        <w:rPr>
          <w:szCs w:val="24"/>
        </w:rPr>
        <w:t>—</w:t>
      </w:r>
      <w:r w:rsidR="00A848BC" w:rsidRPr="004D1AC3">
        <w:rPr>
          <w:szCs w:val="24"/>
        </w:rPr>
        <w:t xml:space="preserve"> but it is also fully justified, given the purposes of t</w:t>
      </w:r>
      <w:r w:rsidR="00000C0B" w:rsidRPr="004D1AC3">
        <w:rPr>
          <w:szCs w:val="24"/>
        </w:rPr>
        <w:t xml:space="preserve">he Act, in the eyes of our labour relations boards. </w:t>
      </w:r>
      <w:r w:rsidR="000F3C99" w:rsidRPr="004D1AC3">
        <w:rPr>
          <w:szCs w:val="24"/>
        </w:rPr>
        <w:t xml:space="preserve">As the </w:t>
      </w:r>
      <w:r w:rsidR="00BA59F2" w:rsidRPr="00BA59F2">
        <w:rPr>
          <w:szCs w:val="24"/>
        </w:rPr>
        <w:t>Ontario Labour Relations Board</w:t>
      </w:r>
      <w:r w:rsidR="00BA59F2" w:rsidRPr="00BA59F2" w:rsidDel="00BA59F2">
        <w:rPr>
          <w:szCs w:val="24"/>
        </w:rPr>
        <w:t xml:space="preserve"> </w:t>
      </w:r>
      <w:r w:rsidR="00E40515" w:rsidRPr="004D1AC3">
        <w:rPr>
          <w:szCs w:val="24"/>
        </w:rPr>
        <w:t xml:space="preserve">explained in </w:t>
      </w:r>
      <w:r w:rsidR="00E40515" w:rsidRPr="004D1AC3">
        <w:rPr>
          <w:i/>
          <w:iCs/>
          <w:szCs w:val="24"/>
        </w:rPr>
        <w:t>Children’s Aid Society of Ottawa-Carleton</w:t>
      </w:r>
      <w:r w:rsidR="006A2F13">
        <w:rPr>
          <w:szCs w:val="24"/>
        </w:rPr>
        <w:t>,</w:t>
      </w:r>
      <w:r w:rsidR="00E40515" w:rsidRPr="006A2F13">
        <w:rPr>
          <w:szCs w:val="24"/>
        </w:rPr>
        <w:t xml:space="preserve"> </w:t>
      </w:r>
    </w:p>
    <w:p w14:paraId="193B928C" w14:textId="77777777" w:rsidR="005C6EC9" w:rsidRPr="004D1AC3" w:rsidRDefault="005C6EC9" w:rsidP="000730C6">
      <w:pPr>
        <w:spacing w:line="240" w:lineRule="auto"/>
        <w:rPr>
          <w:szCs w:val="24"/>
        </w:rPr>
      </w:pPr>
    </w:p>
    <w:p w14:paraId="413ADD51" w14:textId="663C0959" w:rsidR="00961C1A" w:rsidRPr="004D1AC3" w:rsidRDefault="005C6EC9" w:rsidP="000241BC">
      <w:pPr>
        <w:spacing w:line="240" w:lineRule="auto"/>
        <w:ind w:left="720" w:right="720"/>
        <w:rPr>
          <w:szCs w:val="24"/>
        </w:rPr>
      </w:pPr>
      <w:r w:rsidRPr="004D1AC3">
        <w:rPr>
          <w:szCs w:val="24"/>
        </w:rPr>
        <w:t xml:space="preserve">The parties placed before me several authorities dealing with the purpose of the managerial exclusion in the Act, which was the starting point for each of their arguments in the present case. The following excerpt from </w:t>
      </w:r>
      <w:r w:rsidRPr="005D6554">
        <w:rPr>
          <w:i/>
          <w:iCs/>
          <w:szCs w:val="24"/>
        </w:rPr>
        <w:t xml:space="preserve">The Corporation of the </w:t>
      </w:r>
      <w:r w:rsidRPr="005D6554">
        <w:rPr>
          <w:i/>
          <w:iCs/>
          <w:szCs w:val="24"/>
        </w:rPr>
        <w:lastRenderedPageBreak/>
        <w:t>City of Thunder Bay</w:t>
      </w:r>
      <w:r w:rsidRPr="004D1AC3">
        <w:rPr>
          <w:szCs w:val="24"/>
        </w:rPr>
        <w:t xml:space="preserve"> . . . is perhaps the most often-cited discussion of the statutory goals represented by section 1(3)(b): </w:t>
      </w:r>
    </w:p>
    <w:p w14:paraId="495AACC0" w14:textId="18ABEC05" w:rsidR="005C6EC9" w:rsidRPr="004D1AC3" w:rsidRDefault="005C6EC9" w:rsidP="000241BC">
      <w:pPr>
        <w:spacing w:line="240" w:lineRule="auto"/>
        <w:ind w:left="1440" w:right="1440"/>
        <w:rPr>
          <w:szCs w:val="24"/>
        </w:rPr>
      </w:pPr>
      <w:r w:rsidRPr="004D1AC3">
        <w:rPr>
          <w:szCs w:val="24"/>
        </w:rPr>
        <w:t>2. Section 1(3)(b) excludes from collective bargaining persons who in the opinion of the Board exercise managerial functions. The purpose of the section is to ensure that persons who are within a bargaining unit do not find themselves faced with a conflict of interest as between their responsibilities and obligations as managerial personnel, and their responsibilities as trade union members or employees in the bargaining unit. Collective bargaining, by its very nature, requires an arm’s length relationship between the “two</w:t>
      </w:r>
      <w:r w:rsidR="00E741CC" w:rsidRPr="004D1AC3">
        <w:rPr>
          <w:szCs w:val="24"/>
        </w:rPr>
        <w:t xml:space="preserve"> </w:t>
      </w:r>
      <w:r w:rsidRPr="004D1AC3">
        <w:rPr>
          <w:szCs w:val="24"/>
        </w:rPr>
        <w:t>sides” whose interests and objectives are often divergent. Section 1(3)(b) ensures that nei</w:t>
      </w:r>
      <w:r w:rsidRPr="004D1AC3">
        <w:rPr>
          <w:szCs w:val="24"/>
        </w:rPr>
        <w:softHyphen/>
        <w:t xml:space="preserve">ther the trade union, nor its members will have “divided </w:t>
      </w:r>
      <w:proofErr w:type="gramStart"/>
      <w:r w:rsidRPr="004D1AC3">
        <w:rPr>
          <w:szCs w:val="24"/>
        </w:rPr>
        <w:t>loyalties”. . .</w:t>
      </w:r>
      <w:proofErr w:type="gramEnd"/>
      <w:r w:rsidRPr="004D1AC3">
        <w:rPr>
          <w:szCs w:val="24"/>
        </w:rPr>
        <w:t xml:space="preserve"> . </w:t>
      </w:r>
    </w:p>
    <w:p w14:paraId="006CA03D" w14:textId="283F7ACB" w:rsidR="00E741CC" w:rsidRPr="004D1AC3" w:rsidRDefault="005C6EC9" w:rsidP="00E5619A">
      <w:pPr>
        <w:spacing w:line="240" w:lineRule="auto"/>
        <w:ind w:left="720" w:right="720"/>
        <w:rPr>
          <w:szCs w:val="24"/>
        </w:rPr>
      </w:pPr>
      <w:r w:rsidRPr="005D6554">
        <w:rPr>
          <w:i/>
          <w:iCs/>
          <w:szCs w:val="24"/>
        </w:rPr>
        <w:t>Ford Motor Company of Canada Limited</w:t>
      </w:r>
      <w:r w:rsidRPr="004D1AC3">
        <w:rPr>
          <w:szCs w:val="24"/>
        </w:rPr>
        <w:t xml:space="preserve"> . . . reiterated . . . the purposes served by the managerial exclusion “in order to protect the institutional interests of both employers and </w:t>
      </w:r>
      <w:proofErr w:type="gramStart"/>
      <w:r w:rsidRPr="004D1AC3">
        <w:rPr>
          <w:szCs w:val="24"/>
        </w:rPr>
        <w:t>unions”. . .</w:t>
      </w:r>
      <w:proofErr w:type="gramEnd"/>
      <w:r w:rsidRPr="004D1AC3">
        <w:rPr>
          <w:szCs w:val="24"/>
        </w:rPr>
        <w:t xml:space="preserve"> . The Board reviewed many of the examples of “conflicting interests on the shop floor” which have traditionally driven the exclusion of managers from the bargaining units they supervise, but also considered whether the purposes of the managerial exclusion are engaged by a grouping of supervisors into a separate unit: </w:t>
      </w:r>
    </w:p>
    <w:p w14:paraId="018DFE1D" w14:textId="168A3A76" w:rsidR="005C6EC9" w:rsidRPr="004D1AC3" w:rsidRDefault="005C6EC9" w:rsidP="000241BC">
      <w:pPr>
        <w:spacing w:line="240" w:lineRule="auto"/>
        <w:ind w:left="1440" w:right="1440"/>
        <w:rPr>
          <w:szCs w:val="24"/>
        </w:rPr>
      </w:pPr>
      <w:r w:rsidRPr="004D1AC3">
        <w:rPr>
          <w:szCs w:val="24"/>
        </w:rPr>
        <w:t xml:space="preserve">14. In addition to the obvious examples of conflicting interests on the shop floor, there are broader, systemic concerns which require the exclusion of “management” from participation in trade union activities. For if management personnel were treated like ordinary </w:t>
      </w:r>
      <w:proofErr w:type="gramStart"/>
      <w:r w:rsidRPr="004D1AC3">
        <w:rPr>
          <w:szCs w:val="24"/>
        </w:rPr>
        <w:t>employees, and</w:t>
      </w:r>
      <w:proofErr w:type="gramEnd"/>
      <w:r w:rsidRPr="004D1AC3">
        <w:rPr>
          <w:szCs w:val="24"/>
        </w:rPr>
        <w:t xml:space="preserve"> were free to organize or promote particular trade unions, the freedom of these other workers could be </w:t>
      </w:r>
      <w:proofErr w:type="gramStart"/>
      <w:r w:rsidRPr="004D1AC3">
        <w:rPr>
          <w:szCs w:val="24"/>
        </w:rPr>
        <w:t>undermined</w:t>
      </w:r>
      <w:proofErr w:type="gramEnd"/>
      <w:r w:rsidRPr="004D1AC3">
        <w:rPr>
          <w:szCs w:val="24"/>
        </w:rPr>
        <w:t xml:space="preserve"> and the independence of their trade unions could be jeopardized. And this problem may not be resolved merely, as here, by segregating the “supervisors” into their own bargaining unit. </w:t>
      </w:r>
    </w:p>
    <w:p w14:paraId="057980BE" w14:textId="0645B14E" w:rsidR="005C6EC9" w:rsidRPr="004D1AC3" w:rsidRDefault="005C6EC9" w:rsidP="000241BC">
      <w:pPr>
        <w:spacing w:line="240" w:lineRule="auto"/>
        <w:ind w:left="1440" w:right="1440"/>
        <w:rPr>
          <w:szCs w:val="24"/>
        </w:rPr>
      </w:pPr>
      <w:r w:rsidRPr="004D1AC3">
        <w:rPr>
          <w:szCs w:val="24"/>
        </w:rPr>
        <w:t>16. This is not an academic concern either. What distinguishes “management” from ordinary “employees” is the power that managers exercise over the economic security of their fellow workers — a power which, in the Board’s experience, “foremen” have sometimes used to interfere with the right of those workers to engage in collective bargaining through a trade union of their choice</w:t>
      </w:r>
      <w:proofErr w:type="gramStart"/>
      <w:r w:rsidRPr="004D1AC3">
        <w:rPr>
          <w:szCs w:val="24"/>
        </w:rPr>
        <w:t>. . . .</w:t>
      </w:r>
      <w:proofErr w:type="gramEnd"/>
      <w:r w:rsidRPr="004D1AC3">
        <w:rPr>
          <w:szCs w:val="24"/>
        </w:rPr>
        <w:t xml:space="preserve"> That is why section 1(3)(b) is but one of a constellation of statutory provisions designed to segregate “employees” from “management,” and ensure that the employees and their unions are entirely independent of managerial influence. </w:t>
      </w:r>
    </w:p>
    <w:p w14:paraId="2FC7C0C2" w14:textId="4E2C1B73" w:rsidR="005C6EC9" w:rsidRPr="00284D41" w:rsidRDefault="005C6EC9" w:rsidP="000241BC">
      <w:pPr>
        <w:spacing w:line="240" w:lineRule="auto"/>
        <w:ind w:left="1440" w:right="1440"/>
        <w:rPr>
          <w:b/>
          <w:bCs/>
          <w:szCs w:val="24"/>
        </w:rPr>
      </w:pPr>
      <w:r w:rsidRPr="004D1AC3">
        <w:rPr>
          <w:szCs w:val="24"/>
        </w:rPr>
        <w:t>17</w:t>
      </w:r>
      <w:proofErr w:type="gramStart"/>
      <w:r w:rsidRPr="004D1AC3">
        <w:rPr>
          <w:szCs w:val="24"/>
        </w:rPr>
        <w:t>. . . .</w:t>
      </w:r>
      <w:proofErr w:type="gramEnd"/>
      <w:r w:rsidRPr="004D1AC3">
        <w:rPr>
          <w:szCs w:val="24"/>
        </w:rPr>
        <w:t xml:space="preserve"> Collective bargaining might well be a useful tool for managerial employees, just as it is for ordinary workers. </w:t>
      </w:r>
      <w:r w:rsidRPr="00284D41">
        <w:rPr>
          <w:b/>
          <w:bCs/>
          <w:szCs w:val="24"/>
        </w:rPr>
        <w:t xml:space="preserve">However, the Legislature has determined that the process is better served if those obliged to act on behalf of the employer are completely segregated from the union institutions and the collective </w:t>
      </w:r>
      <w:r w:rsidRPr="00284D41">
        <w:rPr>
          <w:b/>
          <w:bCs/>
          <w:szCs w:val="24"/>
        </w:rPr>
        <w:lastRenderedPageBreak/>
        <w:t>bargaining mechanism that employees use to promote their interests</w:t>
      </w:r>
      <w:r w:rsidRPr="008913D9">
        <w:rPr>
          <w:szCs w:val="24"/>
        </w:rPr>
        <w:t>.</w:t>
      </w:r>
      <w:r w:rsidR="00F04E72">
        <w:rPr>
          <w:rStyle w:val="FootnoteReference"/>
          <w:szCs w:val="24"/>
        </w:rPr>
        <w:footnoteReference w:id="16"/>
      </w:r>
    </w:p>
    <w:p w14:paraId="6F579AC5" w14:textId="77777777" w:rsidR="000730C6" w:rsidRDefault="000730C6" w:rsidP="000730C6">
      <w:pPr>
        <w:spacing w:line="240" w:lineRule="auto"/>
        <w:rPr>
          <w:szCs w:val="24"/>
        </w:rPr>
      </w:pPr>
    </w:p>
    <w:p w14:paraId="617691A6" w14:textId="7595FAD2" w:rsidR="00267221" w:rsidRPr="004D1AC3" w:rsidRDefault="00267221" w:rsidP="000730C6">
      <w:pPr>
        <w:spacing w:line="240" w:lineRule="auto"/>
        <w:rPr>
          <w:szCs w:val="24"/>
        </w:rPr>
      </w:pPr>
      <w:r w:rsidRPr="004D1AC3">
        <w:rPr>
          <w:szCs w:val="24"/>
        </w:rPr>
        <w:t>To put it bluntly</w:t>
      </w:r>
      <w:r w:rsidR="009B1331">
        <w:rPr>
          <w:szCs w:val="24"/>
        </w:rPr>
        <w:t>,</w:t>
      </w:r>
      <w:r w:rsidRPr="004D1AC3">
        <w:rPr>
          <w:szCs w:val="24"/>
        </w:rPr>
        <w:t xml:space="preserve"> managers are excluded from </w:t>
      </w:r>
      <w:r w:rsidR="003720F3">
        <w:rPr>
          <w:szCs w:val="24"/>
        </w:rPr>
        <w:t>unionization at all. They are excluded from the</w:t>
      </w:r>
      <w:r w:rsidR="00F761DF">
        <w:rPr>
          <w:szCs w:val="24"/>
        </w:rPr>
        <w:t xml:space="preserve"> statute </w:t>
      </w:r>
      <w:r w:rsidR="00BC36C1" w:rsidRPr="00366C05">
        <w:rPr>
          <w:szCs w:val="24"/>
        </w:rPr>
        <w:t>—</w:t>
      </w:r>
      <w:r w:rsidR="00F761DF">
        <w:rPr>
          <w:szCs w:val="24"/>
        </w:rPr>
        <w:t xml:space="preserve"> </w:t>
      </w:r>
      <w:r w:rsidR="00D44743">
        <w:rPr>
          <w:szCs w:val="24"/>
        </w:rPr>
        <w:t xml:space="preserve">and </w:t>
      </w:r>
      <w:r w:rsidR="00203A2D">
        <w:rPr>
          <w:szCs w:val="24"/>
        </w:rPr>
        <w:t>n</w:t>
      </w:r>
      <w:r w:rsidRPr="004D1AC3">
        <w:rPr>
          <w:szCs w:val="24"/>
        </w:rPr>
        <w:t xml:space="preserve">ot simply from the units or unions of those they manage. </w:t>
      </w:r>
      <w:r w:rsidR="006700FC">
        <w:rPr>
          <w:szCs w:val="24"/>
        </w:rPr>
        <w:t xml:space="preserve">And </w:t>
      </w:r>
      <w:r w:rsidR="00D83747" w:rsidRPr="004D1AC3">
        <w:rPr>
          <w:szCs w:val="24"/>
        </w:rPr>
        <w:t>this is done</w:t>
      </w:r>
      <w:r w:rsidR="00F761DF">
        <w:rPr>
          <w:szCs w:val="24"/>
        </w:rPr>
        <w:t>, in the eyes of our labour relations boards,</w:t>
      </w:r>
      <w:r w:rsidR="00D83747" w:rsidRPr="004D1AC3">
        <w:rPr>
          <w:szCs w:val="24"/>
        </w:rPr>
        <w:t xml:space="preserve"> </w:t>
      </w:r>
      <w:r w:rsidR="006700FC">
        <w:rPr>
          <w:szCs w:val="24"/>
        </w:rPr>
        <w:t xml:space="preserve">explicitly to </w:t>
      </w:r>
      <w:r w:rsidR="00D83747" w:rsidRPr="004D1AC3">
        <w:rPr>
          <w:szCs w:val="24"/>
        </w:rPr>
        <w:t xml:space="preserve">protect the </w:t>
      </w:r>
      <w:r w:rsidR="00FF6605">
        <w:rPr>
          <w:szCs w:val="24"/>
        </w:rPr>
        <w:t xml:space="preserve">associational </w:t>
      </w:r>
      <w:r w:rsidR="00D83747" w:rsidRPr="004D1AC3">
        <w:rPr>
          <w:szCs w:val="24"/>
        </w:rPr>
        <w:t>rights and freedoms of those they manage.</w:t>
      </w:r>
      <w:bookmarkStart w:id="6" w:name="_Ref178942515"/>
      <w:r w:rsidR="006A77BA">
        <w:rPr>
          <w:rStyle w:val="FootnoteReference"/>
          <w:szCs w:val="24"/>
        </w:rPr>
        <w:footnoteReference w:id="17"/>
      </w:r>
      <w:bookmarkEnd w:id="6"/>
    </w:p>
    <w:p w14:paraId="53D076B9" w14:textId="50E6C44B" w:rsidR="000730C6" w:rsidRDefault="000730C6" w:rsidP="000730C6">
      <w:pPr>
        <w:spacing w:line="240" w:lineRule="auto"/>
        <w:rPr>
          <w:szCs w:val="24"/>
        </w:rPr>
      </w:pPr>
    </w:p>
    <w:p w14:paraId="4E804E42" w14:textId="63B8A504" w:rsidR="001C30B0" w:rsidRDefault="001C30B0" w:rsidP="000730C6">
      <w:pPr>
        <w:spacing w:line="240" w:lineRule="auto"/>
        <w:rPr>
          <w:szCs w:val="24"/>
        </w:rPr>
      </w:pPr>
      <w:r w:rsidRPr="004D1AC3">
        <w:rPr>
          <w:szCs w:val="24"/>
        </w:rPr>
        <w:t xml:space="preserve">It has long been clear that a </w:t>
      </w:r>
      <w:r w:rsidRPr="00140063">
        <w:rPr>
          <w:i/>
          <w:iCs/>
          <w:szCs w:val="24"/>
        </w:rPr>
        <w:t>Charter</w:t>
      </w:r>
      <w:r w:rsidRPr="004D1AC3">
        <w:rPr>
          <w:szCs w:val="24"/>
        </w:rPr>
        <w:t xml:space="preserve"> challenge to the intentional exclusion of managers was</w:t>
      </w:r>
      <w:r w:rsidR="00594B90" w:rsidRPr="004D1AC3">
        <w:rPr>
          <w:szCs w:val="24"/>
        </w:rPr>
        <w:t xml:space="preserve"> to be expected. </w:t>
      </w:r>
      <w:r w:rsidR="0024080C" w:rsidRPr="004D1AC3">
        <w:rPr>
          <w:szCs w:val="24"/>
        </w:rPr>
        <w:t xml:space="preserve">And I think </w:t>
      </w:r>
      <w:r w:rsidR="00A533D6" w:rsidRPr="004D1AC3">
        <w:rPr>
          <w:szCs w:val="24"/>
        </w:rPr>
        <w:t>most</w:t>
      </w:r>
      <w:r w:rsidR="001F4ACB" w:rsidRPr="004D1AC3">
        <w:rPr>
          <w:szCs w:val="24"/>
        </w:rPr>
        <w:t xml:space="preserve"> </w:t>
      </w:r>
      <w:r w:rsidR="00A533D6" w:rsidRPr="004D1AC3">
        <w:rPr>
          <w:szCs w:val="24"/>
        </w:rPr>
        <w:t>knowledgeable</w:t>
      </w:r>
      <w:r w:rsidR="00594B90" w:rsidRPr="004D1AC3">
        <w:rPr>
          <w:szCs w:val="24"/>
        </w:rPr>
        <w:t xml:space="preserve"> </w:t>
      </w:r>
      <w:r w:rsidR="004C2FF2" w:rsidRPr="004D1AC3">
        <w:rPr>
          <w:szCs w:val="24"/>
        </w:rPr>
        <w:t>Canadian</w:t>
      </w:r>
      <w:r w:rsidR="00594B90" w:rsidRPr="004D1AC3">
        <w:rPr>
          <w:szCs w:val="24"/>
        </w:rPr>
        <w:t xml:space="preserve"> lawyer</w:t>
      </w:r>
      <w:r w:rsidR="00C42535" w:rsidRPr="004D1AC3">
        <w:rPr>
          <w:szCs w:val="24"/>
        </w:rPr>
        <w:t>s</w:t>
      </w:r>
      <w:r w:rsidR="00594B90" w:rsidRPr="004D1AC3">
        <w:rPr>
          <w:szCs w:val="24"/>
        </w:rPr>
        <w:t xml:space="preserve"> expected the case to proceed </w:t>
      </w:r>
      <w:r w:rsidR="00095BB6" w:rsidRPr="004D1AC3">
        <w:rPr>
          <w:szCs w:val="24"/>
        </w:rPr>
        <w:t xml:space="preserve">as follows. The </w:t>
      </w:r>
      <w:r w:rsidR="0024080C" w:rsidRPr="004D1AC3">
        <w:rPr>
          <w:szCs w:val="24"/>
        </w:rPr>
        <w:t>denial</w:t>
      </w:r>
      <w:r w:rsidR="00095BB6" w:rsidRPr="004D1AC3">
        <w:rPr>
          <w:szCs w:val="24"/>
        </w:rPr>
        <w:t xml:space="preserve"> </w:t>
      </w:r>
      <w:r w:rsidR="0047554F">
        <w:rPr>
          <w:szCs w:val="24"/>
        </w:rPr>
        <w:t xml:space="preserve">to </w:t>
      </w:r>
      <w:r w:rsidR="0047554F" w:rsidRPr="004D1AC3">
        <w:rPr>
          <w:szCs w:val="24"/>
        </w:rPr>
        <w:t xml:space="preserve">managers </w:t>
      </w:r>
      <w:r w:rsidR="00095BB6" w:rsidRPr="004D1AC3">
        <w:rPr>
          <w:szCs w:val="24"/>
        </w:rPr>
        <w:t xml:space="preserve">of the </w:t>
      </w:r>
      <w:r w:rsidR="00890A49">
        <w:rPr>
          <w:szCs w:val="24"/>
        </w:rPr>
        <w:t>s.</w:t>
      </w:r>
      <w:r w:rsidR="00095BB6" w:rsidRPr="004D1AC3">
        <w:rPr>
          <w:szCs w:val="24"/>
        </w:rPr>
        <w:t>2(d) freedom</w:t>
      </w:r>
      <w:r w:rsidR="009B1331">
        <w:rPr>
          <w:rStyle w:val="FootnoteReference"/>
          <w:szCs w:val="24"/>
        </w:rPr>
        <w:footnoteReference w:id="18"/>
      </w:r>
      <w:r w:rsidR="00095BB6" w:rsidRPr="004D1AC3">
        <w:rPr>
          <w:szCs w:val="24"/>
        </w:rPr>
        <w:t xml:space="preserve"> </w:t>
      </w:r>
      <w:r w:rsidR="00405043" w:rsidRPr="004D1AC3">
        <w:rPr>
          <w:szCs w:val="24"/>
        </w:rPr>
        <w:t>is so co</w:t>
      </w:r>
      <w:r w:rsidR="008873A4" w:rsidRPr="004D1AC3">
        <w:rPr>
          <w:szCs w:val="24"/>
        </w:rPr>
        <w:t>mplete</w:t>
      </w:r>
      <w:r w:rsidR="00514D2F" w:rsidRPr="004D1AC3">
        <w:rPr>
          <w:szCs w:val="24"/>
        </w:rPr>
        <w:t xml:space="preserve"> and </w:t>
      </w:r>
      <w:r w:rsidR="00736714" w:rsidRPr="004D1AC3">
        <w:rPr>
          <w:szCs w:val="24"/>
        </w:rPr>
        <w:t>comprehensive</w:t>
      </w:r>
      <w:r w:rsidR="0024080C" w:rsidRPr="004D1AC3">
        <w:rPr>
          <w:szCs w:val="24"/>
        </w:rPr>
        <w:t>,</w:t>
      </w:r>
      <w:r w:rsidR="008873A4" w:rsidRPr="004D1AC3">
        <w:rPr>
          <w:szCs w:val="24"/>
        </w:rPr>
        <w:t xml:space="preserve"> and its intention </w:t>
      </w:r>
      <w:r w:rsidR="00C42535" w:rsidRPr="004D1AC3">
        <w:rPr>
          <w:szCs w:val="24"/>
        </w:rPr>
        <w:t xml:space="preserve">to do </w:t>
      </w:r>
      <w:r w:rsidR="0024080C" w:rsidRPr="004D1AC3">
        <w:rPr>
          <w:szCs w:val="24"/>
        </w:rPr>
        <w:t>s</w:t>
      </w:r>
      <w:r w:rsidR="008873A4" w:rsidRPr="004D1AC3">
        <w:rPr>
          <w:szCs w:val="24"/>
        </w:rPr>
        <w:t xml:space="preserve">o </w:t>
      </w:r>
      <w:r w:rsidR="003956CF" w:rsidRPr="004D1AC3">
        <w:rPr>
          <w:szCs w:val="24"/>
        </w:rPr>
        <w:t xml:space="preserve">being so </w:t>
      </w:r>
      <w:r w:rsidR="008873A4" w:rsidRPr="004D1AC3">
        <w:rPr>
          <w:szCs w:val="24"/>
        </w:rPr>
        <w:t>obvious</w:t>
      </w:r>
      <w:r w:rsidR="0024080C" w:rsidRPr="004D1AC3">
        <w:rPr>
          <w:szCs w:val="24"/>
        </w:rPr>
        <w:t xml:space="preserve"> (indeed </w:t>
      </w:r>
      <w:r w:rsidR="002511D6" w:rsidRPr="004D1AC3">
        <w:rPr>
          <w:szCs w:val="24"/>
        </w:rPr>
        <w:t xml:space="preserve">embraced as </w:t>
      </w:r>
      <w:r w:rsidR="008B073A">
        <w:rPr>
          <w:szCs w:val="24"/>
        </w:rPr>
        <w:t xml:space="preserve">a key component of </w:t>
      </w:r>
      <w:r w:rsidR="005A0F6B">
        <w:rPr>
          <w:szCs w:val="24"/>
        </w:rPr>
        <w:t xml:space="preserve">the </w:t>
      </w:r>
      <w:r w:rsidR="008B073A">
        <w:rPr>
          <w:szCs w:val="24"/>
        </w:rPr>
        <w:t>two part</w:t>
      </w:r>
      <w:r w:rsidR="006B1221">
        <w:rPr>
          <w:szCs w:val="24"/>
        </w:rPr>
        <w:t>s</w:t>
      </w:r>
      <w:r w:rsidR="008B073A">
        <w:rPr>
          <w:szCs w:val="24"/>
        </w:rPr>
        <w:t xml:space="preserve"> of </w:t>
      </w:r>
      <w:r w:rsidR="00514D2F" w:rsidRPr="004D1AC3">
        <w:rPr>
          <w:szCs w:val="24"/>
        </w:rPr>
        <w:t>its</w:t>
      </w:r>
      <w:r w:rsidR="002511D6" w:rsidRPr="004D1AC3">
        <w:rPr>
          <w:szCs w:val="24"/>
        </w:rPr>
        <w:t xml:space="preserve"> legitimat</w:t>
      </w:r>
      <w:r w:rsidR="00514D2F" w:rsidRPr="004D1AC3">
        <w:rPr>
          <w:szCs w:val="24"/>
        </w:rPr>
        <w:t>ing</w:t>
      </w:r>
      <w:r w:rsidR="002511D6" w:rsidRPr="004D1AC3">
        <w:rPr>
          <w:szCs w:val="24"/>
        </w:rPr>
        <w:t xml:space="preserve"> rational</w:t>
      </w:r>
      <w:r w:rsidR="00514D2F" w:rsidRPr="004D1AC3">
        <w:rPr>
          <w:szCs w:val="24"/>
        </w:rPr>
        <w:t>e</w:t>
      </w:r>
      <w:r w:rsidR="002511D6" w:rsidRPr="004D1AC3">
        <w:rPr>
          <w:szCs w:val="24"/>
        </w:rPr>
        <w:t>)</w:t>
      </w:r>
      <w:r w:rsidR="00736714" w:rsidRPr="004D1AC3">
        <w:rPr>
          <w:szCs w:val="24"/>
        </w:rPr>
        <w:t>,</w:t>
      </w:r>
      <w:r w:rsidR="008873A4" w:rsidRPr="004D1AC3">
        <w:rPr>
          <w:szCs w:val="24"/>
        </w:rPr>
        <w:t xml:space="preserve"> that the only issue would be whether the </w:t>
      </w:r>
      <w:r w:rsidR="006A2F13" w:rsidRPr="004D1AC3">
        <w:rPr>
          <w:szCs w:val="24"/>
        </w:rPr>
        <w:t>long-standing</w:t>
      </w:r>
      <w:r w:rsidR="008873A4" w:rsidRPr="004D1AC3">
        <w:rPr>
          <w:szCs w:val="24"/>
        </w:rPr>
        <w:t xml:space="preserve"> </w:t>
      </w:r>
      <w:r w:rsidR="00736714" w:rsidRPr="004D1AC3">
        <w:rPr>
          <w:szCs w:val="24"/>
        </w:rPr>
        <w:t xml:space="preserve">internal </w:t>
      </w:r>
      <w:r w:rsidR="00631FDF" w:rsidRPr="004D1AC3">
        <w:rPr>
          <w:szCs w:val="24"/>
        </w:rPr>
        <w:t>justification</w:t>
      </w:r>
      <w:r w:rsidR="00FF6605">
        <w:rPr>
          <w:szCs w:val="24"/>
        </w:rPr>
        <w:t>, just reviewed,</w:t>
      </w:r>
      <w:r w:rsidR="002511D6" w:rsidRPr="004D1AC3">
        <w:rPr>
          <w:szCs w:val="24"/>
        </w:rPr>
        <w:t xml:space="preserve"> </w:t>
      </w:r>
      <w:r w:rsidR="00A146E1" w:rsidRPr="004D1AC3">
        <w:rPr>
          <w:szCs w:val="24"/>
        </w:rPr>
        <w:t>would pass s.1</w:t>
      </w:r>
      <w:r w:rsidR="00115942">
        <w:rPr>
          <w:rStyle w:val="FootnoteReference"/>
          <w:szCs w:val="24"/>
        </w:rPr>
        <w:footnoteReference w:id="19"/>
      </w:r>
      <w:r w:rsidR="00A146E1" w:rsidRPr="004D1AC3">
        <w:rPr>
          <w:szCs w:val="24"/>
        </w:rPr>
        <w:t xml:space="preserve"> muster. The safe money was on </w:t>
      </w:r>
      <w:r w:rsidR="00631FDF" w:rsidRPr="004D1AC3">
        <w:rPr>
          <w:szCs w:val="24"/>
        </w:rPr>
        <w:t>judicial deference to the internal rationale.</w:t>
      </w:r>
    </w:p>
    <w:p w14:paraId="3DA5C82A" w14:textId="77777777" w:rsidR="00154F74" w:rsidRDefault="00154F74" w:rsidP="000730C6">
      <w:pPr>
        <w:spacing w:line="240" w:lineRule="auto"/>
        <w:rPr>
          <w:szCs w:val="24"/>
        </w:rPr>
      </w:pPr>
    </w:p>
    <w:p w14:paraId="4ACE1B58" w14:textId="4BD89CBD" w:rsidR="00154F74" w:rsidRPr="00154F74" w:rsidRDefault="00154F74" w:rsidP="000730C6">
      <w:pPr>
        <w:spacing w:line="240" w:lineRule="auto"/>
        <w:rPr>
          <w:b/>
          <w:bCs/>
          <w:szCs w:val="24"/>
        </w:rPr>
      </w:pPr>
      <w:proofErr w:type="gramStart"/>
      <w:r w:rsidRPr="00154F74">
        <w:rPr>
          <w:b/>
          <w:bCs/>
          <w:szCs w:val="24"/>
        </w:rPr>
        <w:t>II  Where</w:t>
      </w:r>
      <w:proofErr w:type="gramEnd"/>
      <w:r w:rsidRPr="00154F74">
        <w:rPr>
          <w:b/>
          <w:bCs/>
          <w:szCs w:val="24"/>
        </w:rPr>
        <w:t xml:space="preserve"> </w:t>
      </w:r>
      <w:r w:rsidR="006A0971">
        <w:rPr>
          <w:b/>
          <w:bCs/>
          <w:szCs w:val="24"/>
        </w:rPr>
        <w:t xml:space="preserve">happened to the exclusion in </w:t>
      </w:r>
      <w:r w:rsidR="006A0971" w:rsidRPr="006A0971">
        <w:rPr>
          <w:b/>
          <w:bCs/>
          <w:i/>
          <w:iCs/>
          <w:szCs w:val="24"/>
        </w:rPr>
        <w:t>Casinos de Quebec</w:t>
      </w:r>
      <w:r w:rsidRPr="00154F74">
        <w:rPr>
          <w:b/>
          <w:bCs/>
          <w:szCs w:val="24"/>
        </w:rPr>
        <w:t>?</w:t>
      </w:r>
    </w:p>
    <w:p w14:paraId="6940E613" w14:textId="400558B9" w:rsidR="000730C6" w:rsidRDefault="000730C6" w:rsidP="000730C6">
      <w:pPr>
        <w:spacing w:line="240" w:lineRule="auto"/>
        <w:rPr>
          <w:szCs w:val="24"/>
        </w:rPr>
      </w:pPr>
    </w:p>
    <w:p w14:paraId="2EA12D2A" w14:textId="28298521" w:rsidR="004C2FF2" w:rsidRPr="004D1AC3" w:rsidRDefault="004C2FF2" w:rsidP="000730C6">
      <w:pPr>
        <w:spacing w:line="240" w:lineRule="auto"/>
        <w:rPr>
          <w:szCs w:val="24"/>
        </w:rPr>
      </w:pPr>
      <w:r w:rsidRPr="004D1AC3">
        <w:rPr>
          <w:szCs w:val="24"/>
        </w:rPr>
        <w:t xml:space="preserve">In light of this </w:t>
      </w:r>
      <w:r w:rsidR="00DE2232" w:rsidRPr="004D1AC3">
        <w:rPr>
          <w:szCs w:val="24"/>
        </w:rPr>
        <w:t>background,</w:t>
      </w:r>
      <w:r w:rsidRPr="004D1AC3">
        <w:rPr>
          <w:szCs w:val="24"/>
        </w:rPr>
        <w:t xml:space="preserve"> it takes a little ti</w:t>
      </w:r>
      <w:r w:rsidR="003702CC" w:rsidRPr="004D1AC3">
        <w:rPr>
          <w:szCs w:val="24"/>
        </w:rPr>
        <w:t>m</w:t>
      </w:r>
      <w:r w:rsidRPr="004D1AC3">
        <w:rPr>
          <w:szCs w:val="24"/>
        </w:rPr>
        <w:t>e to get one’s mind around</w:t>
      </w:r>
      <w:r w:rsidR="003702CC" w:rsidRPr="004D1AC3">
        <w:rPr>
          <w:szCs w:val="24"/>
        </w:rPr>
        <w:t xml:space="preserve"> what happened in </w:t>
      </w:r>
      <w:r w:rsidR="00661C87" w:rsidRPr="007A4305">
        <w:rPr>
          <w:i/>
          <w:iCs/>
        </w:rPr>
        <w:t xml:space="preserve">Société des casinos du Québec </w:t>
      </w:r>
      <w:proofErr w:type="spellStart"/>
      <w:r w:rsidR="00661C87" w:rsidRPr="007A4305">
        <w:rPr>
          <w:i/>
          <w:iCs/>
        </w:rPr>
        <w:t>inc</w:t>
      </w:r>
      <w:proofErr w:type="spellEnd"/>
      <w:r w:rsidR="00661C87" w:rsidRPr="007A4305">
        <w:rPr>
          <w:i/>
          <w:iCs/>
        </w:rPr>
        <w:t xml:space="preserve"> v Association des cadres de la Société des casinos du Québec</w:t>
      </w:r>
      <w:r w:rsidR="003702CC" w:rsidRPr="004D1AC3">
        <w:rPr>
          <w:szCs w:val="24"/>
        </w:rPr>
        <w:t>.</w:t>
      </w:r>
      <w:bookmarkStart w:id="7" w:name="_Ref178265253"/>
      <w:r w:rsidR="00661C87">
        <w:rPr>
          <w:rStyle w:val="FootnoteReference"/>
          <w:szCs w:val="24"/>
        </w:rPr>
        <w:footnoteReference w:id="20"/>
      </w:r>
      <w:bookmarkEnd w:id="7"/>
    </w:p>
    <w:p w14:paraId="09A7F061" w14:textId="3F46B069" w:rsidR="000730C6" w:rsidRDefault="000730C6" w:rsidP="000730C6">
      <w:pPr>
        <w:spacing w:line="240" w:lineRule="auto"/>
        <w:rPr>
          <w:szCs w:val="24"/>
        </w:rPr>
      </w:pPr>
    </w:p>
    <w:p w14:paraId="51116541" w14:textId="5B39E67B" w:rsidR="00DB5CBF" w:rsidRPr="004D1AC3" w:rsidRDefault="00DE2232" w:rsidP="000730C6">
      <w:pPr>
        <w:spacing w:line="240" w:lineRule="auto"/>
        <w:rPr>
          <w:szCs w:val="24"/>
        </w:rPr>
      </w:pPr>
      <w:r w:rsidRPr="004D1AC3">
        <w:rPr>
          <w:szCs w:val="24"/>
        </w:rPr>
        <w:t>At first blush</w:t>
      </w:r>
      <w:r w:rsidR="0090791D" w:rsidRPr="004D1AC3">
        <w:rPr>
          <w:szCs w:val="24"/>
        </w:rPr>
        <w:t>,</w:t>
      </w:r>
      <w:r w:rsidR="001B150D" w:rsidRPr="004D1AC3">
        <w:rPr>
          <w:szCs w:val="24"/>
        </w:rPr>
        <w:t xml:space="preserve"> all</w:t>
      </w:r>
      <w:r w:rsidRPr="004D1AC3">
        <w:rPr>
          <w:szCs w:val="24"/>
        </w:rPr>
        <w:t xml:space="preserve"> is well</w:t>
      </w:r>
      <w:r w:rsidR="006E199A">
        <w:rPr>
          <w:szCs w:val="24"/>
        </w:rPr>
        <w:t>,</w:t>
      </w:r>
      <w:r w:rsidRPr="004D1AC3">
        <w:rPr>
          <w:szCs w:val="24"/>
        </w:rPr>
        <w:t xml:space="preserve"> and the expected outcome was achi</w:t>
      </w:r>
      <w:r w:rsidR="00FA4856" w:rsidRPr="004D1AC3">
        <w:rPr>
          <w:szCs w:val="24"/>
        </w:rPr>
        <w:t>eved</w:t>
      </w:r>
      <w:r w:rsidR="00E86D24">
        <w:rPr>
          <w:szCs w:val="24"/>
        </w:rPr>
        <w:t>.</w:t>
      </w:r>
      <w:r w:rsidR="00284D41">
        <w:rPr>
          <w:szCs w:val="24"/>
        </w:rPr>
        <w:t xml:space="preserve"> </w:t>
      </w:r>
      <w:r w:rsidR="00E86D24">
        <w:rPr>
          <w:szCs w:val="24"/>
        </w:rPr>
        <w:t>T</w:t>
      </w:r>
      <w:r w:rsidR="00FA4856" w:rsidRPr="004D1AC3">
        <w:rPr>
          <w:szCs w:val="24"/>
        </w:rPr>
        <w:t xml:space="preserve">he </w:t>
      </w:r>
      <w:r w:rsidR="00402340">
        <w:rPr>
          <w:szCs w:val="24"/>
        </w:rPr>
        <w:t>long</w:t>
      </w:r>
      <w:r w:rsidR="006E199A">
        <w:rPr>
          <w:szCs w:val="24"/>
        </w:rPr>
        <w:t>-</w:t>
      </w:r>
      <w:r w:rsidR="00402340">
        <w:rPr>
          <w:szCs w:val="24"/>
        </w:rPr>
        <w:t xml:space="preserve">expected </w:t>
      </w:r>
      <w:r w:rsidR="00FA4856" w:rsidRPr="00140063">
        <w:rPr>
          <w:i/>
          <w:iCs/>
          <w:szCs w:val="24"/>
        </w:rPr>
        <w:t>Charter</w:t>
      </w:r>
      <w:r w:rsidR="00FA4856" w:rsidRPr="004D1AC3">
        <w:rPr>
          <w:szCs w:val="24"/>
        </w:rPr>
        <w:t xml:space="preserve"> challenge to the managerial exclusion failed. </w:t>
      </w:r>
      <w:r w:rsidR="008D517F" w:rsidRPr="004D1AC3">
        <w:rPr>
          <w:szCs w:val="24"/>
        </w:rPr>
        <w:t xml:space="preserve">The managerial </w:t>
      </w:r>
      <w:r w:rsidR="003250E3" w:rsidRPr="004D1AC3">
        <w:rPr>
          <w:szCs w:val="24"/>
        </w:rPr>
        <w:t>exclusion</w:t>
      </w:r>
      <w:r w:rsidR="008D517F" w:rsidRPr="004D1AC3">
        <w:rPr>
          <w:szCs w:val="24"/>
        </w:rPr>
        <w:t xml:space="preserve"> is </w:t>
      </w:r>
      <w:r w:rsidR="00E7311B" w:rsidRPr="004D1AC3">
        <w:rPr>
          <w:szCs w:val="24"/>
        </w:rPr>
        <w:t>constitutional</w:t>
      </w:r>
      <w:r w:rsidR="000F0F30">
        <w:rPr>
          <w:szCs w:val="24"/>
        </w:rPr>
        <w:t>ly</w:t>
      </w:r>
      <w:r w:rsidR="00B67E34">
        <w:rPr>
          <w:szCs w:val="24"/>
        </w:rPr>
        <w:t>, it seems,</w:t>
      </w:r>
      <w:r w:rsidR="00E7311B" w:rsidRPr="004D1AC3">
        <w:rPr>
          <w:szCs w:val="24"/>
        </w:rPr>
        <w:t xml:space="preserve"> valid</w:t>
      </w:r>
      <w:r w:rsidR="00E052E6" w:rsidRPr="004D1AC3">
        <w:rPr>
          <w:szCs w:val="24"/>
        </w:rPr>
        <w:t xml:space="preserve">. </w:t>
      </w:r>
      <w:r w:rsidR="006D5349" w:rsidRPr="004D1AC3">
        <w:rPr>
          <w:szCs w:val="24"/>
        </w:rPr>
        <w:t xml:space="preserve">But </w:t>
      </w:r>
      <w:r w:rsidR="003250E3" w:rsidRPr="004D1AC3">
        <w:rPr>
          <w:szCs w:val="24"/>
        </w:rPr>
        <w:t>at this point</w:t>
      </w:r>
      <w:r w:rsidR="006E199A">
        <w:rPr>
          <w:szCs w:val="24"/>
        </w:rPr>
        <w:t>,</w:t>
      </w:r>
      <w:r w:rsidR="003250E3" w:rsidRPr="004D1AC3">
        <w:rPr>
          <w:szCs w:val="24"/>
        </w:rPr>
        <w:t xml:space="preserve"> </w:t>
      </w:r>
      <w:r w:rsidR="006D5349" w:rsidRPr="004D1AC3">
        <w:rPr>
          <w:szCs w:val="24"/>
        </w:rPr>
        <w:t>the expected stops</w:t>
      </w:r>
      <w:r w:rsidR="00CB1F58" w:rsidRPr="004D1AC3">
        <w:rPr>
          <w:szCs w:val="24"/>
        </w:rPr>
        <w:t xml:space="preserve"> </w:t>
      </w:r>
      <w:r w:rsidR="0036290E" w:rsidRPr="00366C05">
        <w:rPr>
          <w:szCs w:val="24"/>
        </w:rPr>
        <w:t>—</w:t>
      </w:r>
      <w:r w:rsidR="00CB1F58" w:rsidRPr="004D1AC3">
        <w:rPr>
          <w:szCs w:val="24"/>
        </w:rPr>
        <w:t xml:space="preserve"> and we go down </w:t>
      </w:r>
      <w:r w:rsidR="0028704A" w:rsidRPr="004D1AC3">
        <w:rPr>
          <w:szCs w:val="24"/>
        </w:rPr>
        <w:t xml:space="preserve">what I see as </w:t>
      </w:r>
      <w:r w:rsidR="00CB1F58" w:rsidRPr="004D1AC3">
        <w:rPr>
          <w:szCs w:val="24"/>
        </w:rPr>
        <w:t xml:space="preserve">a </w:t>
      </w:r>
      <w:r w:rsidR="0028704A" w:rsidRPr="004D1AC3">
        <w:rPr>
          <w:szCs w:val="24"/>
        </w:rPr>
        <w:t xml:space="preserve">rather </w:t>
      </w:r>
      <w:r w:rsidR="00967610" w:rsidRPr="004D1AC3">
        <w:rPr>
          <w:szCs w:val="24"/>
        </w:rPr>
        <w:t>remarkable</w:t>
      </w:r>
      <w:r w:rsidR="00CB1F58" w:rsidRPr="004D1AC3">
        <w:rPr>
          <w:szCs w:val="24"/>
        </w:rPr>
        <w:t xml:space="preserve"> </w:t>
      </w:r>
      <w:r w:rsidR="0028704A" w:rsidRPr="004D1AC3">
        <w:rPr>
          <w:szCs w:val="24"/>
        </w:rPr>
        <w:t xml:space="preserve">constitutional </w:t>
      </w:r>
      <w:r w:rsidR="00CB1F58" w:rsidRPr="004D1AC3">
        <w:rPr>
          <w:szCs w:val="24"/>
        </w:rPr>
        <w:t>rabbit hole</w:t>
      </w:r>
      <w:r w:rsidR="00967610" w:rsidRPr="004D1AC3">
        <w:rPr>
          <w:szCs w:val="24"/>
        </w:rPr>
        <w:t xml:space="preserve">. </w:t>
      </w:r>
      <w:r w:rsidR="006D5349" w:rsidRPr="004D1AC3">
        <w:rPr>
          <w:szCs w:val="24"/>
        </w:rPr>
        <w:t xml:space="preserve"> </w:t>
      </w:r>
    </w:p>
    <w:p w14:paraId="1D4CD8B9" w14:textId="15EA8B9B" w:rsidR="000730C6" w:rsidRDefault="000730C6" w:rsidP="000730C6">
      <w:pPr>
        <w:spacing w:line="240" w:lineRule="auto"/>
        <w:rPr>
          <w:szCs w:val="24"/>
          <w:lang w:eastAsia="zh-TW"/>
        </w:rPr>
      </w:pPr>
    </w:p>
    <w:p w14:paraId="7FFECC68" w14:textId="233A239C" w:rsidR="00DE2232" w:rsidRPr="0018378E" w:rsidRDefault="006D5349" w:rsidP="000730C6">
      <w:pPr>
        <w:spacing w:line="240" w:lineRule="auto"/>
        <w:rPr>
          <w:szCs w:val="24"/>
        </w:rPr>
      </w:pPr>
      <w:r w:rsidRPr="004D1AC3">
        <w:rPr>
          <w:szCs w:val="24"/>
        </w:rPr>
        <w:t xml:space="preserve">This takes a moment to absorb </w:t>
      </w:r>
      <w:r w:rsidR="0036290E" w:rsidRPr="00366C05">
        <w:rPr>
          <w:szCs w:val="24"/>
        </w:rPr>
        <w:t>—</w:t>
      </w:r>
      <w:r w:rsidRPr="004D1AC3">
        <w:rPr>
          <w:szCs w:val="24"/>
        </w:rPr>
        <w:t xml:space="preserve"> but the basic holding </w:t>
      </w:r>
      <w:r w:rsidR="005976B5">
        <w:rPr>
          <w:szCs w:val="24"/>
        </w:rPr>
        <w:t xml:space="preserve">seems to </w:t>
      </w:r>
      <w:r w:rsidR="00284D41">
        <w:rPr>
          <w:szCs w:val="24"/>
        </w:rPr>
        <w:t xml:space="preserve">be </w:t>
      </w:r>
      <w:r w:rsidR="00284D41" w:rsidRPr="004D1AC3">
        <w:rPr>
          <w:szCs w:val="24"/>
        </w:rPr>
        <w:t>as</w:t>
      </w:r>
      <w:r w:rsidR="00967610" w:rsidRPr="004D1AC3">
        <w:rPr>
          <w:szCs w:val="24"/>
        </w:rPr>
        <w:t xml:space="preserve"> follows</w:t>
      </w:r>
      <w:r w:rsidR="003250E3" w:rsidRPr="004D1AC3">
        <w:rPr>
          <w:szCs w:val="24"/>
        </w:rPr>
        <w:t>:</w:t>
      </w:r>
      <w:r w:rsidR="00967610" w:rsidRPr="004D1AC3">
        <w:rPr>
          <w:szCs w:val="24"/>
        </w:rPr>
        <w:t xml:space="preserve"> </w:t>
      </w:r>
      <w:r w:rsidR="00967610" w:rsidRPr="004D1AC3">
        <w:rPr>
          <w:b/>
          <w:bCs/>
          <w:szCs w:val="24"/>
        </w:rPr>
        <w:t xml:space="preserve">The managerial exclusion is </w:t>
      </w:r>
      <w:r w:rsidR="00042621" w:rsidRPr="004D1AC3">
        <w:rPr>
          <w:b/>
          <w:bCs/>
          <w:szCs w:val="24"/>
        </w:rPr>
        <w:t xml:space="preserve">constitutionally </w:t>
      </w:r>
      <w:r w:rsidR="00BD18B7" w:rsidRPr="004D1AC3">
        <w:rPr>
          <w:b/>
          <w:bCs/>
          <w:szCs w:val="24"/>
        </w:rPr>
        <w:t xml:space="preserve">valid. </w:t>
      </w:r>
      <w:r w:rsidR="00B85FC4" w:rsidRPr="004D1AC3">
        <w:rPr>
          <w:b/>
          <w:bCs/>
          <w:szCs w:val="24"/>
        </w:rPr>
        <w:t xml:space="preserve">It is still with us. </w:t>
      </w:r>
      <w:r w:rsidR="00BD18B7" w:rsidRPr="004D1AC3">
        <w:rPr>
          <w:szCs w:val="24"/>
        </w:rPr>
        <w:t xml:space="preserve">Managers can be excluded from </w:t>
      </w:r>
      <w:r w:rsidR="00351B45" w:rsidRPr="004D1AC3">
        <w:rPr>
          <w:szCs w:val="24"/>
        </w:rPr>
        <w:t xml:space="preserve">the </w:t>
      </w:r>
      <w:r w:rsidR="008D3D5D">
        <w:rPr>
          <w:szCs w:val="24"/>
        </w:rPr>
        <w:t xml:space="preserve">complete set of </w:t>
      </w:r>
      <w:r w:rsidR="00B7220E" w:rsidRPr="004D1AC3">
        <w:rPr>
          <w:szCs w:val="24"/>
        </w:rPr>
        <w:t>rights</w:t>
      </w:r>
      <w:r w:rsidR="00351B45" w:rsidRPr="004D1AC3">
        <w:rPr>
          <w:szCs w:val="24"/>
        </w:rPr>
        <w:t xml:space="preserve"> and freedoms </w:t>
      </w:r>
      <w:r w:rsidR="000F0F30">
        <w:rPr>
          <w:szCs w:val="24"/>
        </w:rPr>
        <w:t xml:space="preserve">which our statutes </w:t>
      </w:r>
      <w:r w:rsidR="002E4B42">
        <w:rPr>
          <w:szCs w:val="24"/>
        </w:rPr>
        <w:t xml:space="preserve">establish </w:t>
      </w:r>
      <w:r w:rsidR="00351B45" w:rsidRPr="004D1AC3">
        <w:rPr>
          <w:szCs w:val="24"/>
        </w:rPr>
        <w:t xml:space="preserve">to form unions, </w:t>
      </w:r>
      <w:r w:rsidR="00BD18B7" w:rsidRPr="004D1AC3">
        <w:rPr>
          <w:szCs w:val="24"/>
        </w:rPr>
        <w:t>collective</w:t>
      </w:r>
      <w:r w:rsidR="00351B45" w:rsidRPr="004D1AC3">
        <w:rPr>
          <w:szCs w:val="24"/>
        </w:rPr>
        <w:t>ly</w:t>
      </w:r>
      <w:r w:rsidR="00BD18B7" w:rsidRPr="004D1AC3">
        <w:rPr>
          <w:szCs w:val="24"/>
        </w:rPr>
        <w:t xml:space="preserve"> bargain, </w:t>
      </w:r>
      <w:r w:rsidR="00351B45" w:rsidRPr="004D1AC3">
        <w:rPr>
          <w:szCs w:val="24"/>
        </w:rPr>
        <w:t>strike</w:t>
      </w:r>
      <w:r w:rsidR="00336023" w:rsidRPr="004D1AC3">
        <w:rPr>
          <w:szCs w:val="24"/>
        </w:rPr>
        <w:t>, and all the rest</w:t>
      </w:r>
      <w:r w:rsidR="00DB5CBF" w:rsidRPr="004D1AC3">
        <w:rPr>
          <w:szCs w:val="24"/>
        </w:rPr>
        <w:t>, which is provided for non</w:t>
      </w:r>
      <w:r w:rsidR="009A5C9F" w:rsidRPr="004D1AC3">
        <w:rPr>
          <w:szCs w:val="24"/>
        </w:rPr>
        <w:t>-</w:t>
      </w:r>
      <w:r w:rsidR="00DB5CBF" w:rsidRPr="004D1AC3">
        <w:rPr>
          <w:szCs w:val="24"/>
        </w:rPr>
        <w:t>managerial employees.</w:t>
      </w:r>
      <w:r w:rsidR="00336023" w:rsidRPr="004D1AC3">
        <w:rPr>
          <w:szCs w:val="24"/>
        </w:rPr>
        <w:t xml:space="preserve"> </w:t>
      </w:r>
      <w:r w:rsidR="00E052E6" w:rsidRPr="004D1AC3">
        <w:rPr>
          <w:szCs w:val="24"/>
        </w:rPr>
        <w:t>B</w:t>
      </w:r>
      <w:r w:rsidR="00E052E6">
        <w:rPr>
          <w:szCs w:val="24"/>
        </w:rPr>
        <w:t>ut</w:t>
      </w:r>
      <w:r w:rsidR="00336023" w:rsidRPr="004D1AC3">
        <w:rPr>
          <w:szCs w:val="24"/>
        </w:rPr>
        <w:t xml:space="preserve"> </w:t>
      </w:r>
      <w:r w:rsidR="003E688C">
        <w:rPr>
          <w:szCs w:val="24"/>
        </w:rPr>
        <w:t>t</w:t>
      </w:r>
      <w:r w:rsidR="00336023" w:rsidRPr="004D1AC3">
        <w:rPr>
          <w:szCs w:val="24"/>
        </w:rPr>
        <w:t>his i</w:t>
      </w:r>
      <w:r w:rsidR="00B7220E" w:rsidRPr="004D1AC3">
        <w:rPr>
          <w:szCs w:val="24"/>
        </w:rPr>
        <w:t xml:space="preserve">s </w:t>
      </w:r>
      <w:r w:rsidR="00B604A1" w:rsidRPr="004D1AC3">
        <w:rPr>
          <w:szCs w:val="24"/>
        </w:rPr>
        <w:t xml:space="preserve">not because there is a </w:t>
      </w:r>
      <w:r w:rsidR="0023003C" w:rsidRPr="004D1AC3">
        <w:rPr>
          <w:szCs w:val="24"/>
        </w:rPr>
        <w:t xml:space="preserve">violation of </w:t>
      </w:r>
      <w:r w:rsidR="00C76E85">
        <w:rPr>
          <w:szCs w:val="24"/>
        </w:rPr>
        <w:t xml:space="preserve">s. </w:t>
      </w:r>
      <w:r w:rsidR="005976B5">
        <w:rPr>
          <w:szCs w:val="24"/>
        </w:rPr>
        <w:t>2(d</w:t>
      </w:r>
      <w:r w:rsidR="00D93583">
        <w:rPr>
          <w:szCs w:val="24"/>
        </w:rPr>
        <w:t>)</w:t>
      </w:r>
      <w:r w:rsidR="00C76E85">
        <w:rPr>
          <w:szCs w:val="24"/>
        </w:rPr>
        <w:t xml:space="preserve"> of the</w:t>
      </w:r>
      <w:r w:rsidR="00D93583">
        <w:rPr>
          <w:szCs w:val="24"/>
        </w:rPr>
        <w:t xml:space="preserve"> </w:t>
      </w:r>
      <w:r w:rsidR="00D93583" w:rsidRPr="00C76E85">
        <w:rPr>
          <w:i/>
          <w:iCs/>
          <w:szCs w:val="24"/>
        </w:rPr>
        <w:t>Charter</w:t>
      </w:r>
      <w:r w:rsidR="0023003C" w:rsidRPr="004D1AC3">
        <w:rPr>
          <w:szCs w:val="24"/>
        </w:rPr>
        <w:t xml:space="preserve"> </w:t>
      </w:r>
      <w:r w:rsidR="00B84657">
        <w:rPr>
          <w:szCs w:val="24"/>
        </w:rPr>
        <w:t xml:space="preserve">which is </w:t>
      </w:r>
      <w:r w:rsidR="008D3D5D">
        <w:rPr>
          <w:szCs w:val="24"/>
        </w:rPr>
        <w:t>combi</w:t>
      </w:r>
      <w:r w:rsidR="006E199A">
        <w:rPr>
          <w:szCs w:val="24"/>
        </w:rPr>
        <w:t>n</w:t>
      </w:r>
      <w:r w:rsidR="008D3D5D">
        <w:rPr>
          <w:szCs w:val="24"/>
        </w:rPr>
        <w:t>ed with</w:t>
      </w:r>
      <w:r w:rsidR="0023003C" w:rsidRPr="004D1AC3">
        <w:rPr>
          <w:szCs w:val="24"/>
        </w:rPr>
        <w:t xml:space="preserve"> </w:t>
      </w:r>
      <w:r w:rsidR="00B604A1" w:rsidRPr="004D1AC3">
        <w:rPr>
          <w:szCs w:val="24"/>
        </w:rPr>
        <w:t>a good reason</w:t>
      </w:r>
      <w:r w:rsidR="002E4B42">
        <w:rPr>
          <w:szCs w:val="24"/>
        </w:rPr>
        <w:t xml:space="preserve"> (</w:t>
      </w:r>
      <w:r w:rsidR="006B1221">
        <w:rPr>
          <w:szCs w:val="24"/>
        </w:rPr>
        <w:t>i.e.</w:t>
      </w:r>
      <w:r w:rsidR="00477AE5">
        <w:rPr>
          <w:szCs w:val="24"/>
        </w:rPr>
        <w:t xml:space="preserve"> </w:t>
      </w:r>
      <w:r w:rsidR="002E4B42">
        <w:rPr>
          <w:szCs w:val="24"/>
        </w:rPr>
        <w:t>our well</w:t>
      </w:r>
      <w:r w:rsidR="006B1221">
        <w:rPr>
          <w:szCs w:val="24"/>
        </w:rPr>
        <w:t>-</w:t>
      </w:r>
      <w:r w:rsidR="002E4B42">
        <w:rPr>
          <w:szCs w:val="24"/>
        </w:rPr>
        <w:t xml:space="preserve">understood </w:t>
      </w:r>
      <w:r w:rsidR="00477AE5">
        <w:rPr>
          <w:szCs w:val="24"/>
        </w:rPr>
        <w:t>two-fold</w:t>
      </w:r>
      <w:r w:rsidR="00F52567">
        <w:rPr>
          <w:szCs w:val="24"/>
        </w:rPr>
        <w:t>,</w:t>
      </w:r>
      <w:r w:rsidR="00477AE5">
        <w:rPr>
          <w:szCs w:val="24"/>
        </w:rPr>
        <w:t xml:space="preserve"> standard</w:t>
      </w:r>
      <w:r w:rsidR="00F52567">
        <w:rPr>
          <w:szCs w:val="24"/>
        </w:rPr>
        <w:t>,</w:t>
      </w:r>
      <w:r w:rsidR="00477AE5">
        <w:rPr>
          <w:szCs w:val="24"/>
        </w:rPr>
        <w:t xml:space="preserve"> labour relations board</w:t>
      </w:r>
      <w:r w:rsidR="00F52567">
        <w:rPr>
          <w:szCs w:val="24"/>
        </w:rPr>
        <w:t>,</w:t>
      </w:r>
      <w:r w:rsidR="00477AE5">
        <w:rPr>
          <w:szCs w:val="24"/>
        </w:rPr>
        <w:t xml:space="preserve"> rationale</w:t>
      </w:r>
      <w:r w:rsidR="00F52567">
        <w:rPr>
          <w:szCs w:val="24"/>
        </w:rPr>
        <w:t xml:space="preserve"> just reviewed</w:t>
      </w:r>
      <w:r w:rsidR="00477AE5">
        <w:rPr>
          <w:szCs w:val="24"/>
        </w:rPr>
        <w:t>)</w:t>
      </w:r>
      <w:r w:rsidR="00B604A1" w:rsidRPr="004D1AC3">
        <w:rPr>
          <w:szCs w:val="24"/>
        </w:rPr>
        <w:t xml:space="preserve"> to exclude </w:t>
      </w:r>
      <w:r w:rsidR="00B604A1" w:rsidRPr="004D1AC3">
        <w:rPr>
          <w:szCs w:val="24"/>
        </w:rPr>
        <w:lastRenderedPageBreak/>
        <w:t xml:space="preserve">them (which </w:t>
      </w:r>
      <w:r w:rsidR="0023003C" w:rsidRPr="004D1AC3">
        <w:rPr>
          <w:szCs w:val="24"/>
        </w:rPr>
        <w:t>satisfies</w:t>
      </w:r>
      <w:r w:rsidR="00B604A1" w:rsidRPr="004D1AC3">
        <w:rPr>
          <w:szCs w:val="24"/>
        </w:rPr>
        <w:t xml:space="preserve"> s. 1 of the </w:t>
      </w:r>
      <w:r w:rsidR="00B604A1" w:rsidRPr="00140063">
        <w:rPr>
          <w:i/>
          <w:iCs/>
          <w:szCs w:val="24"/>
        </w:rPr>
        <w:t>Charter</w:t>
      </w:r>
      <w:r w:rsidR="00B604A1" w:rsidRPr="004D1AC3">
        <w:rPr>
          <w:szCs w:val="24"/>
        </w:rPr>
        <w:t>)</w:t>
      </w:r>
      <w:r w:rsidR="0023003C" w:rsidRPr="004D1AC3">
        <w:rPr>
          <w:szCs w:val="24"/>
        </w:rPr>
        <w:t>. Rather,</w:t>
      </w:r>
      <w:r w:rsidR="00B604A1" w:rsidRPr="004D1AC3">
        <w:rPr>
          <w:szCs w:val="24"/>
        </w:rPr>
        <w:t xml:space="preserve"> </w:t>
      </w:r>
      <w:r w:rsidR="00B84657">
        <w:rPr>
          <w:szCs w:val="24"/>
        </w:rPr>
        <w:t xml:space="preserve">it </w:t>
      </w:r>
      <w:r w:rsidR="002A5871" w:rsidRPr="004D1AC3">
        <w:rPr>
          <w:szCs w:val="24"/>
        </w:rPr>
        <w:t xml:space="preserve">is </w:t>
      </w:r>
      <w:r w:rsidR="00B7220E" w:rsidRPr="004D1AC3">
        <w:rPr>
          <w:szCs w:val="24"/>
        </w:rPr>
        <w:t>because</w:t>
      </w:r>
      <w:r w:rsidR="00F9016B" w:rsidRPr="004D1AC3">
        <w:rPr>
          <w:szCs w:val="24"/>
        </w:rPr>
        <w:t xml:space="preserve"> </w:t>
      </w:r>
      <w:r w:rsidR="00B7220E" w:rsidRPr="004D1AC3">
        <w:rPr>
          <w:szCs w:val="24"/>
        </w:rPr>
        <w:t>manager</w:t>
      </w:r>
      <w:r w:rsidR="00F9016B" w:rsidRPr="004D1AC3">
        <w:rPr>
          <w:szCs w:val="24"/>
        </w:rPr>
        <w:t>s</w:t>
      </w:r>
      <w:r w:rsidR="00B7220E" w:rsidRPr="004D1AC3">
        <w:rPr>
          <w:szCs w:val="24"/>
        </w:rPr>
        <w:t xml:space="preserve"> </w:t>
      </w:r>
      <w:r w:rsidR="00B84657">
        <w:rPr>
          <w:szCs w:val="24"/>
        </w:rPr>
        <w:t xml:space="preserve">do </w:t>
      </w:r>
      <w:r w:rsidR="00B7220E" w:rsidRPr="004D1AC3">
        <w:rPr>
          <w:szCs w:val="24"/>
        </w:rPr>
        <w:t xml:space="preserve">have the </w:t>
      </w:r>
      <w:r w:rsidR="00042621" w:rsidRPr="004D1AC3">
        <w:rPr>
          <w:szCs w:val="24"/>
        </w:rPr>
        <w:t xml:space="preserve">constitutional </w:t>
      </w:r>
      <w:r w:rsidR="00B7220E" w:rsidRPr="004D1AC3">
        <w:rPr>
          <w:szCs w:val="24"/>
        </w:rPr>
        <w:t xml:space="preserve">right </w:t>
      </w:r>
      <w:r w:rsidR="000A59FD" w:rsidRPr="004D1AC3">
        <w:rPr>
          <w:szCs w:val="24"/>
        </w:rPr>
        <w:t>t</w:t>
      </w:r>
      <w:r w:rsidR="00C85427" w:rsidRPr="004D1AC3">
        <w:rPr>
          <w:szCs w:val="24"/>
        </w:rPr>
        <w:t>o</w:t>
      </w:r>
      <w:r w:rsidR="000A59FD" w:rsidRPr="004D1AC3">
        <w:rPr>
          <w:szCs w:val="24"/>
        </w:rPr>
        <w:t xml:space="preserve"> form unions, collectively bargain, strike, and all the rest</w:t>
      </w:r>
      <w:r w:rsidR="00C85427" w:rsidRPr="004D1AC3">
        <w:rPr>
          <w:szCs w:val="24"/>
        </w:rPr>
        <w:t>.</w:t>
      </w:r>
      <w:r w:rsidR="00403373" w:rsidRPr="004D1AC3">
        <w:rPr>
          <w:szCs w:val="24"/>
        </w:rPr>
        <w:t xml:space="preserve"> </w:t>
      </w:r>
      <w:r w:rsidR="00C6148D" w:rsidRPr="004D1AC3">
        <w:rPr>
          <w:szCs w:val="24"/>
        </w:rPr>
        <w:t>(</w:t>
      </w:r>
      <w:r w:rsidR="00403373" w:rsidRPr="004D1AC3">
        <w:rPr>
          <w:szCs w:val="24"/>
        </w:rPr>
        <w:t>And on the facts of the case</w:t>
      </w:r>
      <w:r w:rsidR="006E199A">
        <w:rPr>
          <w:szCs w:val="24"/>
        </w:rPr>
        <w:t>,</w:t>
      </w:r>
      <w:r w:rsidR="00403373" w:rsidRPr="004D1AC3">
        <w:rPr>
          <w:szCs w:val="24"/>
        </w:rPr>
        <w:t xml:space="preserve"> the </w:t>
      </w:r>
      <w:r w:rsidR="00FC21C1" w:rsidRPr="004D1AC3">
        <w:rPr>
          <w:szCs w:val="24"/>
        </w:rPr>
        <w:t>managers</w:t>
      </w:r>
      <w:r w:rsidR="00403373" w:rsidRPr="004D1AC3">
        <w:rPr>
          <w:szCs w:val="24"/>
        </w:rPr>
        <w:t xml:space="preserve"> ha</w:t>
      </w:r>
      <w:r w:rsidR="00F125E6" w:rsidRPr="004D1AC3">
        <w:rPr>
          <w:szCs w:val="24"/>
        </w:rPr>
        <w:t>d</w:t>
      </w:r>
      <w:r w:rsidR="00403373" w:rsidRPr="004D1AC3">
        <w:rPr>
          <w:szCs w:val="24"/>
        </w:rPr>
        <w:t xml:space="preserve"> achiev</w:t>
      </w:r>
      <w:r w:rsidR="00FC21C1" w:rsidRPr="004D1AC3">
        <w:rPr>
          <w:szCs w:val="24"/>
        </w:rPr>
        <w:t xml:space="preserve">ed some </w:t>
      </w:r>
      <w:r w:rsidR="00F125E6" w:rsidRPr="004D1AC3">
        <w:rPr>
          <w:szCs w:val="24"/>
        </w:rPr>
        <w:t>measure</w:t>
      </w:r>
      <w:r w:rsidR="00FC21C1" w:rsidRPr="004D1AC3">
        <w:rPr>
          <w:szCs w:val="24"/>
        </w:rPr>
        <w:t xml:space="preserve"> of exercise of those rights and freedoms </w:t>
      </w:r>
      <w:r w:rsidR="0036290E" w:rsidRPr="00366C05">
        <w:rPr>
          <w:szCs w:val="24"/>
        </w:rPr>
        <w:t>—</w:t>
      </w:r>
      <w:r w:rsidR="00FC21C1" w:rsidRPr="004D1AC3">
        <w:rPr>
          <w:szCs w:val="24"/>
        </w:rPr>
        <w:t xml:space="preserve"> </w:t>
      </w:r>
      <w:r w:rsidR="00042621" w:rsidRPr="004D1AC3">
        <w:rPr>
          <w:szCs w:val="24"/>
        </w:rPr>
        <w:t xml:space="preserve">but </w:t>
      </w:r>
      <w:r w:rsidR="006477CF">
        <w:rPr>
          <w:szCs w:val="24"/>
        </w:rPr>
        <w:t xml:space="preserve">one </w:t>
      </w:r>
      <w:r w:rsidR="00FC21C1" w:rsidRPr="004D1AC3">
        <w:rPr>
          <w:szCs w:val="24"/>
        </w:rPr>
        <w:t>with which they were obvious</w:t>
      </w:r>
      <w:r w:rsidR="006C392C">
        <w:rPr>
          <w:szCs w:val="24"/>
        </w:rPr>
        <w:t>ly</w:t>
      </w:r>
      <w:r w:rsidR="00FC21C1" w:rsidRPr="004D1AC3">
        <w:rPr>
          <w:szCs w:val="24"/>
        </w:rPr>
        <w:t xml:space="preserve"> very dissatisfied</w:t>
      </w:r>
      <w:r w:rsidR="00B85FC4" w:rsidRPr="004D1AC3">
        <w:rPr>
          <w:szCs w:val="24"/>
        </w:rPr>
        <w:t xml:space="preserve"> and sought the </w:t>
      </w:r>
      <w:r w:rsidR="00666EE6" w:rsidRPr="004D1AC3">
        <w:rPr>
          <w:szCs w:val="24"/>
        </w:rPr>
        <w:t xml:space="preserve">full </w:t>
      </w:r>
      <w:r w:rsidR="00B85FC4" w:rsidRPr="004D1AC3">
        <w:rPr>
          <w:szCs w:val="24"/>
        </w:rPr>
        <w:t>regime available to non-managerial employees</w:t>
      </w:r>
      <w:r w:rsidR="00FC21C1" w:rsidRPr="004D1AC3">
        <w:rPr>
          <w:szCs w:val="24"/>
        </w:rPr>
        <w:t>.</w:t>
      </w:r>
      <w:bookmarkStart w:id="8" w:name="_Ref178343377"/>
      <w:r w:rsidR="00354B50" w:rsidRPr="004D1AC3">
        <w:rPr>
          <w:rStyle w:val="FootnoteReference"/>
          <w:szCs w:val="24"/>
        </w:rPr>
        <w:footnoteReference w:id="21"/>
      </w:r>
      <w:bookmarkEnd w:id="8"/>
      <w:r w:rsidR="00C6148D" w:rsidRPr="004D1AC3">
        <w:rPr>
          <w:szCs w:val="24"/>
        </w:rPr>
        <w:t>)</w:t>
      </w:r>
      <w:r w:rsidR="00403373" w:rsidRPr="004D1AC3">
        <w:rPr>
          <w:szCs w:val="24"/>
        </w:rPr>
        <w:t xml:space="preserve">  </w:t>
      </w:r>
      <w:r w:rsidR="00F9016B" w:rsidRPr="004D1AC3">
        <w:rPr>
          <w:b/>
          <w:bCs/>
          <w:szCs w:val="24"/>
        </w:rPr>
        <w:t xml:space="preserve">So, </w:t>
      </w:r>
      <w:r w:rsidR="00C11E7E">
        <w:rPr>
          <w:b/>
          <w:bCs/>
          <w:szCs w:val="24"/>
        </w:rPr>
        <w:t xml:space="preserve">in the courts, </w:t>
      </w:r>
      <w:r w:rsidR="00F9016B" w:rsidRPr="004D1AC3">
        <w:rPr>
          <w:b/>
          <w:bCs/>
          <w:szCs w:val="24"/>
        </w:rPr>
        <w:t>the managerial exclusion is no longer with us.</w:t>
      </w:r>
      <w:r w:rsidR="00506222" w:rsidRPr="004D1AC3">
        <w:rPr>
          <w:b/>
          <w:bCs/>
          <w:szCs w:val="24"/>
        </w:rPr>
        <w:t xml:space="preserve"> </w:t>
      </w:r>
    </w:p>
    <w:p w14:paraId="179DB6D5" w14:textId="327E38BB" w:rsidR="000730C6" w:rsidRDefault="000730C6" w:rsidP="000730C6">
      <w:pPr>
        <w:spacing w:line="240" w:lineRule="auto"/>
        <w:rPr>
          <w:szCs w:val="24"/>
        </w:rPr>
      </w:pPr>
    </w:p>
    <w:p w14:paraId="0E9D2AF0" w14:textId="51C0CBBD" w:rsidR="00506222" w:rsidRPr="004D1AC3" w:rsidRDefault="00506222" w:rsidP="000730C6">
      <w:pPr>
        <w:spacing w:line="240" w:lineRule="auto"/>
        <w:rPr>
          <w:szCs w:val="24"/>
        </w:rPr>
      </w:pPr>
      <w:r w:rsidRPr="0084430B">
        <w:rPr>
          <w:b/>
          <w:bCs/>
          <w:szCs w:val="24"/>
        </w:rPr>
        <w:t xml:space="preserve">The </w:t>
      </w:r>
      <w:r w:rsidR="00B67E34">
        <w:rPr>
          <w:b/>
          <w:bCs/>
          <w:szCs w:val="24"/>
        </w:rPr>
        <w:t xml:space="preserve">statutory </w:t>
      </w:r>
      <w:r w:rsidRPr="0084430B">
        <w:rPr>
          <w:b/>
          <w:bCs/>
          <w:szCs w:val="24"/>
        </w:rPr>
        <w:t xml:space="preserve">managerial exclusion is constitutionally valid because it is </w:t>
      </w:r>
      <w:r w:rsidR="004760D4" w:rsidRPr="0084430B">
        <w:rPr>
          <w:b/>
          <w:bCs/>
          <w:szCs w:val="24"/>
        </w:rPr>
        <w:t>constitutionally</w:t>
      </w:r>
      <w:r w:rsidRPr="0084430B">
        <w:rPr>
          <w:b/>
          <w:bCs/>
          <w:szCs w:val="24"/>
        </w:rPr>
        <w:t xml:space="preserve"> invalid</w:t>
      </w:r>
      <w:r w:rsidR="004760D4" w:rsidRPr="0084430B">
        <w:rPr>
          <w:b/>
          <w:bCs/>
          <w:szCs w:val="24"/>
        </w:rPr>
        <w:t>.</w:t>
      </w:r>
      <w:r w:rsidR="00B951E4" w:rsidRPr="004D1AC3">
        <w:rPr>
          <w:szCs w:val="24"/>
        </w:rPr>
        <w:t xml:space="preserve"> </w:t>
      </w:r>
      <w:r w:rsidR="00A80201" w:rsidRPr="004D1AC3">
        <w:rPr>
          <w:szCs w:val="24"/>
        </w:rPr>
        <w:t>Our statutes</w:t>
      </w:r>
      <w:r w:rsidR="00B951E4" w:rsidRPr="004D1AC3">
        <w:rPr>
          <w:szCs w:val="24"/>
        </w:rPr>
        <w:t xml:space="preserve"> can </w:t>
      </w:r>
      <w:r w:rsidR="003352CA" w:rsidRPr="004D1AC3">
        <w:rPr>
          <w:szCs w:val="24"/>
        </w:rPr>
        <w:t>deny</w:t>
      </w:r>
      <w:r w:rsidR="000A3F76">
        <w:rPr>
          <w:szCs w:val="24"/>
        </w:rPr>
        <w:t>, in a consti</w:t>
      </w:r>
      <w:r w:rsidR="006E199A">
        <w:rPr>
          <w:szCs w:val="24"/>
        </w:rPr>
        <w:t>tutional</w:t>
      </w:r>
      <w:r w:rsidR="000A3F76">
        <w:rPr>
          <w:szCs w:val="24"/>
        </w:rPr>
        <w:t>ly legitimate way,</w:t>
      </w:r>
      <w:r w:rsidR="003352CA" w:rsidRPr="004D1AC3">
        <w:rPr>
          <w:szCs w:val="24"/>
        </w:rPr>
        <w:t xml:space="preserve"> </w:t>
      </w:r>
      <w:r w:rsidR="00B951E4" w:rsidRPr="004D1AC3">
        <w:rPr>
          <w:szCs w:val="24"/>
        </w:rPr>
        <w:t>managers</w:t>
      </w:r>
      <w:r w:rsidR="000A3F76">
        <w:rPr>
          <w:szCs w:val="24"/>
        </w:rPr>
        <w:t>’</w:t>
      </w:r>
      <w:r w:rsidR="00B951E4" w:rsidRPr="004D1AC3">
        <w:rPr>
          <w:szCs w:val="24"/>
        </w:rPr>
        <w:t xml:space="preserve"> </w:t>
      </w:r>
      <w:r w:rsidR="003352CA" w:rsidRPr="004D1AC3">
        <w:rPr>
          <w:szCs w:val="24"/>
        </w:rPr>
        <w:t>freedom of association</w:t>
      </w:r>
      <w:r w:rsidR="00C11E7E">
        <w:rPr>
          <w:szCs w:val="24"/>
        </w:rPr>
        <w:t>al</w:t>
      </w:r>
      <w:r w:rsidR="003352CA" w:rsidRPr="004D1AC3">
        <w:rPr>
          <w:szCs w:val="24"/>
        </w:rPr>
        <w:t xml:space="preserve"> rights and fre</w:t>
      </w:r>
      <w:r w:rsidR="00A95346" w:rsidRPr="004D1AC3">
        <w:rPr>
          <w:szCs w:val="24"/>
        </w:rPr>
        <w:t>e</w:t>
      </w:r>
      <w:r w:rsidR="003352CA" w:rsidRPr="004D1AC3">
        <w:rPr>
          <w:szCs w:val="24"/>
        </w:rPr>
        <w:t xml:space="preserve">doms (including the </w:t>
      </w:r>
      <w:r w:rsidR="00EA4F2D" w:rsidRPr="004D1AC3">
        <w:rPr>
          <w:szCs w:val="24"/>
        </w:rPr>
        <w:t>“</w:t>
      </w:r>
      <w:r w:rsidR="003352CA" w:rsidRPr="004D1AC3">
        <w:rPr>
          <w:szCs w:val="24"/>
        </w:rPr>
        <w:t>right</w:t>
      </w:r>
      <w:r w:rsidR="00EA4F2D" w:rsidRPr="004D1AC3">
        <w:rPr>
          <w:szCs w:val="24"/>
        </w:rPr>
        <w:t>”</w:t>
      </w:r>
      <w:r w:rsidR="003352CA" w:rsidRPr="004D1AC3">
        <w:rPr>
          <w:szCs w:val="24"/>
        </w:rPr>
        <w:t xml:space="preserve"> to strike) </w:t>
      </w:r>
      <w:r w:rsidR="00B951E4" w:rsidRPr="004D1AC3">
        <w:rPr>
          <w:szCs w:val="24"/>
        </w:rPr>
        <w:t xml:space="preserve">because the </w:t>
      </w:r>
      <w:r w:rsidR="004C6FE4">
        <w:rPr>
          <w:szCs w:val="24"/>
        </w:rPr>
        <w:t>C</w:t>
      </w:r>
      <w:r w:rsidR="004C6FE4" w:rsidRPr="004D1AC3">
        <w:rPr>
          <w:szCs w:val="24"/>
        </w:rPr>
        <w:t xml:space="preserve">onstitution </w:t>
      </w:r>
      <w:r w:rsidR="00BC41B1" w:rsidRPr="004D1AC3">
        <w:rPr>
          <w:szCs w:val="24"/>
        </w:rPr>
        <w:t>guarantees those rights and freedoms (including the right to strike)</w:t>
      </w:r>
      <w:r w:rsidR="00C11E7E">
        <w:rPr>
          <w:szCs w:val="24"/>
        </w:rPr>
        <w:t xml:space="preserve"> through the courts</w:t>
      </w:r>
      <w:r w:rsidR="00BC41B1" w:rsidRPr="004D1AC3">
        <w:rPr>
          <w:szCs w:val="24"/>
        </w:rPr>
        <w:t>.</w:t>
      </w:r>
    </w:p>
    <w:p w14:paraId="30289EA7" w14:textId="251CA949" w:rsidR="000730C6" w:rsidRDefault="000730C6" w:rsidP="000730C6">
      <w:pPr>
        <w:spacing w:line="240" w:lineRule="auto"/>
        <w:rPr>
          <w:szCs w:val="24"/>
        </w:rPr>
      </w:pPr>
    </w:p>
    <w:p w14:paraId="6F571317" w14:textId="05D310C2" w:rsidR="00E97BF3" w:rsidRPr="004D1AC3" w:rsidRDefault="00E97BF3" w:rsidP="000730C6">
      <w:pPr>
        <w:spacing w:line="240" w:lineRule="auto"/>
        <w:rPr>
          <w:szCs w:val="24"/>
        </w:rPr>
      </w:pPr>
      <w:r w:rsidRPr="004D1AC3">
        <w:rPr>
          <w:szCs w:val="24"/>
        </w:rPr>
        <w:t>Ponder that for a moment.</w:t>
      </w:r>
      <w:r w:rsidR="00C52A51" w:rsidRPr="004D1AC3">
        <w:rPr>
          <w:szCs w:val="24"/>
        </w:rPr>
        <w:t xml:space="preserve"> Can we make sense of that?</w:t>
      </w:r>
      <w:r w:rsidR="00D3576E" w:rsidRPr="004D1AC3">
        <w:rPr>
          <w:szCs w:val="24"/>
        </w:rPr>
        <w:t xml:space="preserve"> Is the managerial exclusion still with u</w:t>
      </w:r>
      <w:r w:rsidR="00827261" w:rsidRPr="004D1AC3">
        <w:rPr>
          <w:szCs w:val="24"/>
        </w:rPr>
        <w:t>s</w:t>
      </w:r>
      <w:r w:rsidR="00F125E6" w:rsidRPr="004D1AC3">
        <w:rPr>
          <w:szCs w:val="24"/>
        </w:rPr>
        <w:t>? Or</w:t>
      </w:r>
      <w:r w:rsidR="00D3576E" w:rsidRPr="004D1AC3">
        <w:rPr>
          <w:szCs w:val="24"/>
        </w:rPr>
        <w:t xml:space="preserve"> not?</w:t>
      </w:r>
      <w:r w:rsidR="00C7014C" w:rsidRPr="004D1AC3">
        <w:rPr>
          <w:szCs w:val="24"/>
        </w:rPr>
        <w:t xml:space="preserve"> I think it is clear that it is not.</w:t>
      </w:r>
      <w:r w:rsidR="0080000A">
        <w:rPr>
          <w:szCs w:val="24"/>
        </w:rPr>
        <w:t xml:space="preserve"> The managerial exclusion appears</w:t>
      </w:r>
      <w:r w:rsidR="00F30F4D">
        <w:rPr>
          <w:szCs w:val="24"/>
        </w:rPr>
        <w:t xml:space="preserve"> </w:t>
      </w:r>
      <w:r w:rsidR="0080000A">
        <w:rPr>
          <w:szCs w:val="24"/>
        </w:rPr>
        <w:t xml:space="preserve">to not be part of the constitutional scheme of things. </w:t>
      </w:r>
      <w:r w:rsidR="00045889">
        <w:rPr>
          <w:szCs w:val="24"/>
        </w:rPr>
        <w:t xml:space="preserve">But we are never told </w:t>
      </w:r>
      <w:r w:rsidR="000158FC">
        <w:rPr>
          <w:szCs w:val="24"/>
        </w:rPr>
        <w:t>why</w:t>
      </w:r>
      <w:r w:rsidR="00045889">
        <w:rPr>
          <w:szCs w:val="24"/>
        </w:rPr>
        <w:t xml:space="preserve"> this is so. W</w:t>
      </w:r>
      <w:r w:rsidR="000158FC">
        <w:rPr>
          <w:szCs w:val="24"/>
        </w:rPr>
        <w:t>e</w:t>
      </w:r>
      <w:r w:rsidR="00045889">
        <w:rPr>
          <w:szCs w:val="24"/>
        </w:rPr>
        <w:t xml:space="preserve"> a</w:t>
      </w:r>
      <w:r w:rsidR="00576F65">
        <w:rPr>
          <w:szCs w:val="24"/>
        </w:rPr>
        <w:t>r</w:t>
      </w:r>
      <w:r w:rsidR="00045889">
        <w:rPr>
          <w:szCs w:val="24"/>
        </w:rPr>
        <w:t>e never to</w:t>
      </w:r>
      <w:r w:rsidR="000158FC">
        <w:rPr>
          <w:szCs w:val="24"/>
        </w:rPr>
        <w:t>l</w:t>
      </w:r>
      <w:r w:rsidR="00045889">
        <w:rPr>
          <w:szCs w:val="24"/>
        </w:rPr>
        <w:t>d why</w:t>
      </w:r>
      <w:r w:rsidR="006E1441">
        <w:rPr>
          <w:szCs w:val="24"/>
        </w:rPr>
        <w:t xml:space="preserve"> what </w:t>
      </w:r>
      <w:r w:rsidR="00045889">
        <w:rPr>
          <w:szCs w:val="24"/>
        </w:rPr>
        <w:t xml:space="preserve">all Canadian labour lawyers know to be </w:t>
      </w:r>
      <w:r w:rsidR="000158FC">
        <w:rPr>
          <w:szCs w:val="24"/>
        </w:rPr>
        <w:t>the two-fold</w:t>
      </w:r>
      <w:r w:rsidR="00045889">
        <w:rPr>
          <w:szCs w:val="24"/>
        </w:rPr>
        <w:t xml:space="preserve"> </w:t>
      </w:r>
      <w:r w:rsidR="001869FD">
        <w:rPr>
          <w:szCs w:val="24"/>
        </w:rPr>
        <w:t>rationale</w:t>
      </w:r>
      <w:r w:rsidR="00045889">
        <w:rPr>
          <w:szCs w:val="24"/>
        </w:rPr>
        <w:t xml:space="preserve"> for the exclusion</w:t>
      </w:r>
      <w:r w:rsidR="001869FD">
        <w:rPr>
          <w:szCs w:val="24"/>
        </w:rPr>
        <w:t xml:space="preserve"> </w:t>
      </w:r>
      <w:r w:rsidR="000158FC">
        <w:rPr>
          <w:szCs w:val="24"/>
        </w:rPr>
        <w:t xml:space="preserve">has </w:t>
      </w:r>
      <w:r w:rsidR="00873295">
        <w:rPr>
          <w:szCs w:val="24"/>
        </w:rPr>
        <w:t>“</w:t>
      </w:r>
      <w:r w:rsidR="000158FC">
        <w:rPr>
          <w:szCs w:val="24"/>
        </w:rPr>
        <w:t>been disappeared</w:t>
      </w:r>
      <w:r w:rsidR="00D93583">
        <w:rPr>
          <w:szCs w:val="24"/>
        </w:rPr>
        <w:t>.</w:t>
      </w:r>
      <w:r w:rsidR="00873295">
        <w:rPr>
          <w:szCs w:val="24"/>
        </w:rPr>
        <w:t>”</w:t>
      </w:r>
      <w:r w:rsidR="00D93583">
        <w:rPr>
          <w:szCs w:val="24"/>
        </w:rPr>
        <w:t xml:space="preserve"> </w:t>
      </w:r>
      <w:r w:rsidR="000158FC">
        <w:rPr>
          <w:szCs w:val="24"/>
        </w:rPr>
        <w:t>This rather fundamental point is simply not addressed.</w:t>
      </w:r>
    </w:p>
    <w:p w14:paraId="65845C35" w14:textId="57972970" w:rsidR="000730C6" w:rsidRDefault="000730C6" w:rsidP="000730C6">
      <w:pPr>
        <w:spacing w:line="240" w:lineRule="auto"/>
        <w:rPr>
          <w:szCs w:val="24"/>
        </w:rPr>
      </w:pPr>
    </w:p>
    <w:p w14:paraId="2E676D35" w14:textId="1D7B5EC8" w:rsidR="00BD5E12" w:rsidRPr="00284D41" w:rsidRDefault="00C7014C" w:rsidP="000730C6">
      <w:pPr>
        <w:spacing w:line="240" w:lineRule="auto"/>
        <w:rPr>
          <w:sz w:val="16"/>
          <w:szCs w:val="16"/>
        </w:rPr>
      </w:pPr>
      <w:r w:rsidRPr="004D1AC3">
        <w:rPr>
          <w:szCs w:val="24"/>
        </w:rPr>
        <w:t>T</w:t>
      </w:r>
      <w:r w:rsidR="00145E40" w:rsidRPr="004D1AC3">
        <w:rPr>
          <w:szCs w:val="24"/>
        </w:rPr>
        <w:t xml:space="preserve">he obvious way of trying to square this circle </w:t>
      </w:r>
      <w:r w:rsidR="00E77E3A" w:rsidRPr="004D1AC3">
        <w:rPr>
          <w:szCs w:val="24"/>
        </w:rPr>
        <w:t xml:space="preserve">is to say that now we have </w:t>
      </w:r>
      <w:r w:rsidR="005936C6" w:rsidRPr="004D1AC3">
        <w:rPr>
          <w:szCs w:val="24"/>
        </w:rPr>
        <w:t xml:space="preserve">truly and undeniably </w:t>
      </w:r>
      <w:r w:rsidR="00E77E3A" w:rsidRPr="004D1AC3">
        <w:rPr>
          <w:szCs w:val="24"/>
        </w:rPr>
        <w:t>entered the predicted</w:t>
      </w:r>
      <w:r w:rsidR="00094A3F" w:rsidRPr="004D1AC3">
        <w:rPr>
          <w:rStyle w:val="FootnoteReference"/>
          <w:szCs w:val="24"/>
        </w:rPr>
        <w:footnoteReference w:id="22"/>
      </w:r>
      <w:r w:rsidR="00E77E3A" w:rsidRPr="004D1AC3">
        <w:rPr>
          <w:szCs w:val="24"/>
        </w:rPr>
        <w:t xml:space="preserve"> parallel univers</w:t>
      </w:r>
      <w:r w:rsidR="005936C6" w:rsidRPr="004D1AC3">
        <w:rPr>
          <w:szCs w:val="24"/>
        </w:rPr>
        <w:t>e</w:t>
      </w:r>
      <w:r w:rsidR="006E199A">
        <w:rPr>
          <w:szCs w:val="24"/>
        </w:rPr>
        <w:t>s</w:t>
      </w:r>
      <w:r w:rsidR="005936C6" w:rsidRPr="004D1AC3">
        <w:rPr>
          <w:szCs w:val="24"/>
        </w:rPr>
        <w:t xml:space="preserve"> of a constitutional labour code</w:t>
      </w:r>
      <w:r w:rsidR="00472E6F" w:rsidRPr="004D1AC3">
        <w:rPr>
          <w:szCs w:val="24"/>
        </w:rPr>
        <w:t xml:space="preserve"> </w:t>
      </w:r>
      <w:r w:rsidR="006E199A">
        <w:rPr>
          <w:szCs w:val="24"/>
        </w:rPr>
        <w:t>d</w:t>
      </w:r>
      <w:r w:rsidR="00A95346" w:rsidRPr="004D1AC3">
        <w:rPr>
          <w:szCs w:val="24"/>
        </w:rPr>
        <w:t xml:space="preserve">rafted by </w:t>
      </w:r>
      <w:r w:rsidR="003E7ADD" w:rsidRPr="004D1AC3">
        <w:rPr>
          <w:szCs w:val="24"/>
        </w:rPr>
        <w:t>j</w:t>
      </w:r>
      <w:r w:rsidR="00A95346" w:rsidRPr="004D1AC3">
        <w:rPr>
          <w:szCs w:val="24"/>
        </w:rPr>
        <w:t xml:space="preserve">udges. </w:t>
      </w:r>
      <w:r w:rsidR="004139A0" w:rsidRPr="004D1AC3">
        <w:rPr>
          <w:szCs w:val="24"/>
        </w:rPr>
        <w:t>In this world</w:t>
      </w:r>
      <w:r w:rsidR="00DD56F2">
        <w:rPr>
          <w:szCs w:val="24"/>
        </w:rPr>
        <w:t>,</w:t>
      </w:r>
      <w:r w:rsidR="004139A0" w:rsidRPr="004D1AC3">
        <w:rPr>
          <w:szCs w:val="24"/>
        </w:rPr>
        <w:t xml:space="preserve"> </w:t>
      </w:r>
      <w:r w:rsidR="005F7562" w:rsidRPr="004D1AC3">
        <w:rPr>
          <w:szCs w:val="24"/>
        </w:rPr>
        <w:t xml:space="preserve">simply </w:t>
      </w:r>
      <w:r w:rsidR="00472E6F" w:rsidRPr="004D1AC3">
        <w:rPr>
          <w:szCs w:val="24"/>
        </w:rPr>
        <w:t xml:space="preserve">because you are </w:t>
      </w:r>
      <w:r w:rsidR="005F7562" w:rsidRPr="004D1AC3">
        <w:rPr>
          <w:szCs w:val="24"/>
        </w:rPr>
        <w:t>bo</w:t>
      </w:r>
      <w:r w:rsidR="003E7ADD" w:rsidRPr="004D1AC3">
        <w:rPr>
          <w:szCs w:val="24"/>
        </w:rPr>
        <w:t>o</w:t>
      </w:r>
      <w:r w:rsidR="005F7562" w:rsidRPr="004D1AC3">
        <w:rPr>
          <w:szCs w:val="24"/>
        </w:rPr>
        <w:t>ted</w:t>
      </w:r>
      <w:r w:rsidR="00472E6F" w:rsidRPr="004D1AC3">
        <w:rPr>
          <w:szCs w:val="24"/>
        </w:rPr>
        <w:t xml:space="preserve"> out of the statutory version</w:t>
      </w:r>
      <w:r w:rsidR="00CB75AF" w:rsidRPr="004D1AC3">
        <w:rPr>
          <w:szCs w:val="24"/>
        </w:rPr>
        <w:t xml:space="preserve"> </w:t>
      </w:r>
      <w:r w:rsidR="004139A0" w:rsidRPr="004D1AC3">
        <w:rPr>
          <w:szCs w:val="24"/>
        </w:rPr>
        <w:t xml:space="preserve">of freedom of association for workers </w:t>
      </w:r>
      <w:r w:rsidR="00CB75AF" w:rsidRPr="004D1AC3">
        <w:rPr>
          <w:szCs w:val="24"/>
        </w:rPr>
        <w:t>does not mean you don’t have the constitutional version to fall back on</w:t>
      </w:r>
      <w:r w:rsidR="004139A0" w:rsidRPr="004D1AC3">
        <w:rPr>
          <w:szCs w:val="24"/>
        </w:rPr>
        <w:t>.</w:t>
      </w:r>
      <w:r w:rsidR="005F7562" w:rsidRPr="004D1AC3">
        <w:rPr>
          <w:szCs w:val="24"/>
        </w:rPr>
        <w:t xml:space="preserve"> </w:t>
      </w:r>
      <w:r w:rsidR="00B67E34">
        <w:rPr>
          <w:szCs w:val="24"/>
        </w:rPr>
        <w:t>Rather, y</w:t>
      </w:r>
      <w:r w:rsidR="005F7562" w:rsidRPr="004D1AC3">
        <w:rPr>
          <w:szCs w:val="24"/>
        </w:rPr>
        <w:t xml:space="preserve">ou have been punted into a parallel universe. </w:t>
      </w:r>
      <w:r w:rsidR="004E7FC5">
        <w:rPr>
          <w:szCs w:val="24"/>
        </w:rPr>
        <w:t xml:space="preserve">This universe is </w:t>
      </w:r>
      <w:r w:rsidR="005F7562" w:rsidRPr="004D1AC3">
        <w:rPr>
          <w:szCs w:val="24"/>
        </w:rPr>
        <w:t xml:space="preserve">conjured out of the </w:t>
      </w:r>
      <w:r w:rsidR="006E199A">
        <w:rPr>
          <w:szCs w:val="24"/>
        </w:rPr>
        <w:t>three</w:t>
      </w:r>
      <w:r w:rsidR="005F7562" w:rsidRPr="004D1AC3">
        <w:rPr>
          <w:szCs w:val="24"/>
        </w:rPr>
        <w:t xml:space="preserve"> </w:t>
      </w:r>
      <w:r w:rsidR="006A2F13" w:rsidRPr="004D1AC3">
        <w:rPr>
          <w:szCs w:val="24"/>
        </w:rPr>
        <w:t>words “</w:t>
      </w:r>
      <w:r w:rsidR="005F7562" w:rsidRPr="004D1AC3">
        <w:rPr>
          <w:szCs w:val="24"/>
        </w:rPr>
        <w:t xml:space="preserve">freedom </w:t>
      </w:r>
      <w:r w:rsidR="00B867FF" w:rsidRPr="004D1AC3">
        <w:rPr>
          <w:szCs w:val="24"/>
        </w:rPr>
        <w:t>of</w:t>
      </w:r>
      <w:r w:rsidR="005F7562" w:rsidRPr="004D1AC3">
        <w:rPr>
          <w:szCs w:val="24"/>
        </w:rPr>
        <w:t xml:space="preserve"> association” in 2 (d) and </w:t>
      </w:r>
      <w:r w:rsidR="00B867FF" w:rsidRPr="004D1AC3">
        <w:rPr>
          <w:szCs w:val="24"/>
        </w:rPr>
        <w:t>one</w:t>
      </w:r>
      <w:r w:rsidR="006E199A">
        <w:rPr>
          <w:szCs w:val="24"/>
        </w:rPr>
        <w:t>,</w:t>
      </w:r>
      <w:r w:rsidR="00B867FF" w:rsidRPr="004D1AC3">
        <w:rPr>
          <w:szCs w:val="24"/>
        </w:rPr>
        <w:t xml:space="preserve"> which</w:t>
      </w:r>
      <w:r w:rsidR="000B384E">
        <w:rPr>
          <w:szCs w:val="24"/>
        </w:rPr>
        <w:t xml:space="preserve"> as demonstrated so clearly in </w:t>
      </w:r>
      <w:r w:rsidR="00262ECA">
        <w:rPr>
          <w:i/>
          <w:iCs/>
        </w:rPr>
        <w:t>C</w:t>
      </w:r>
      <w:r w:rsidR="00262ECA" w:rsidRPr="007A4305">
        <w:rPr>
          <w:i/>
          <w:iCs/>
        </w:rPr>
        <w:t>asinos du Québec</w:t>
      </w:r>
      <w:r w:rsidR="000B384E">
        <w:rPr>
          <w:szCs w:val="24"/>
        </w:rPr>
        <w:t>,</w:t>
      </w:r>
      <w:r w:rsidR="00B867FF" w:rsidRPr="004D1AC3">
        <w:rPr>
          <w:szCs w:val="24"/>
        </w:rPr>
        <w:t xml:space="preserve"> </w:t>
      </w:r>
      <w:r w:rsidR="0089431D">
        <w:rPr>
          <w:szCs w:val="24"/>
        </w:rPr>
        <w:t>seems</w:t>
      </w:r>
      <w:r w:rsidR="00B67E34">
        <w:rPr>
          <w:szCs w:val="24"/>
        </w:rPr>
        <w:t>,</w:t>
      </w:r>
      <w:r w:rsidR="0089431D">
        <w:rPr>
          <w:szCs w:val="24"/>
        </w:rPr>
        <w:t xml:space="preserve"> </w:t>
      </w:r>
      <w:r w:rsidR="00D83C60">
        <w:rPr>
          <w:szCs w:val="24"/>
        </w:rPr>
        <w:t>and is alleged to</w:t>
      </w:r>
      <w:r w:rsidR="00B67E34">
        <w:rPr>
          <w:szCs w:val="24"/>
        </w:rPr>
        <w:t>,</w:t>
      </w:r>
      <w:r w:rsidR="00D83C60">
        <w:rPr>
          <w:szCs w:val="24"/>
        </w:rPr>
        <w:t xml:space="preserve"> be </w:t>
      </w:r>
      <w:r w:rsidR="00B867FF" w:rsidRPr="004D1AC3">
        <w:rPr>
          <w:szCs w:val="24"/>
        </w:rPr>
        <w:t xml:space="preserve">completely indifferent to the legislative version </w:t>
      </w:r>
      <w:r w:rsidR="00D553F6" w:rsidRPr="004D1AC3">
        <w:rPr>
          <w:szCs w:val="24"/>
        </w:rPr>
        <w:t>which has governe</w:t>
      </w:r>
      <w:r w:rsidR="00F821E3" w:rsidRPr="004D1AC3">
        <w:rPr>
          <w:szCs w:val="24"/>
        </w:rPr>
        <w:t>d</w:t>
      </w:r>
      <w:r w:rsidR="00D553F6" w:rsidRPr="004D1AC3">
        <w:rPr>
          <w:szCs w:val="24"/>
        </w:rPr>
        <w:t xml:space="preserve"> collective labour law in Canada for</w:t>
      </w:r>
      <w:r w:rsidR="00F821E3" w:rsidRPr="004D1AC3">
        <w:rPr>
          <w:szCs w:val="24"/>
        </w:rPr>
        <w:t xml:space="preserve"> decades.</w:t>
      </w:r>
      <w:r w:rsidR="00705B61">
        <w:rPr>
          <w:rStyle w:val="FootnoteReference"/>
          <w:szCs w:val="24"/>
        </w:rPr>
        <w:footnoteReference w:id="23"/>
      </w:r>
      <w:r w:rsidR="00F821E3" w:rsidRPr="004D1AC3">
        <w:rPr>
          <w:szCs w:val="24"/>
        </w:rPr>
        <w:t xml:space="preserve"> </w:t>
      </w:r>
      <w:r w:rsidR="00B41780">
        <w:rPr>
          <w:szCs w:val="24"/>
        </w:rPr>
        <w:t xml:space="preserve">But in </w:t>
      </w:r>
      <w:r w:rsidR="00421812">
        <w:rPr>
          <w:szCs w:val="24"/>
        </w:rPr>
        <w:t>reality,</w:t>
      </w:r>
      <w:r w:rsidR="00B41780">
        <w:rPr>
          <w:szCs w:val="24"/>
        </w:rPr>
        <w:t xml:space="preserve"> the constitution</w:t>
      </w:r>
      <w:r w:rsidR="00421812">
        <w:rPr>
          <w:szCs w:val="24"/>
        </w:rPr>
        <w:t>al</w:t>
      </w:r>
      <w:r w:rsidR="00B41780">
        <w:rPr>
          <w:szCs w:val="24"/>
        </w:rPr>
        <w:t xml:space="preserve"> version is a cut</w:t>
      </w:r>
      <w:r w:rsidR="001D2B64">
        <w:rPr>
          <w:szCs w:val="24"/>
        </w:rPr>
        <w:t>-and-</w:t>
      </w:r>
      <w:r w:rsidR="00B41780">
        <w:rPr>
          <w:szCs w:val="24"/>
        </w:rPr>
        <w:t>paste job</w:t>
      </w:r>
      <w:r w:rsidR="00D73E8D">
        <w:rPr>
          <w:szCs w:val="24"/>
        </w:rPr>
        <w:t xml:space="preserve"> </w:t>
      </w:r>
      <w:r w:rsidR="00F035ED">
        <w:rPr>
          <w:szCs w:val="24"/>
        </w:rPr>
        <w:t xml:space="preserve"> </w:t>
      </w:r>
      <w:r w:rsidR="00C76E85" w:rsidRPr="00366C05">
        <w:rPr>
          <w:szCs w:val="24"/>
        </w:rPr>
        <w:t>—</w:t>
      </w:r>
      <w:r w:rsidR="00F035ED">
        <w:rPr>
          <w:szCs w:val="24"/>
        </w:rPr>
        <w:t xml:space="preserve"> a (watered</w:t>
      </w:r>
      <w:r w:rsidR="001D2B64">
        <w:rPr>
          <w:szCs w:val="24"/>
        </w:rPr>
        <w:t>-</w:t>
      </w:r>
      <w:r w:rsidR="00F035ED">
        <w:rPr>
          <w:szCs w:val="24"/>
        </w:rPr>
        <w:t xml:space="preserve">down) version </w:t>
      </w:r>
      <w:r w:rsidR="00421812">
        <w:rPr>
          <w:szCs w:val="24"/>
        </w:rPr>
        <w:t>of</w:t>
      </w:r>
      <w:r w:rsidR="00D73E8D">
        <w:rPr>
          <w:szCs w:val="24"/>
        </w:rPr>
        <w:t xml:space="preserve"> the statutory </w:t>
      </w:r>
      <w:r w:rsidR="00F035ED">
        <w:rPr>
          <w:szCs w:val="24"/>
        </w:rPr>
        <w:t>scheme</w:t>
      </w:r>
      <w:r w:rsidR="00D73E8D">
        <w:rPr>
          <w:szCs w:val="24"/>
        </w:rPr>
        <w:t>.</w:t>
      </w:r>
      <w:r w:rsidR="00550D88">
        <w:rPr>
          <w:szCs w:val="24"/>
        </w:rPr>
        <w:t xml:space="preserve"> In </w:t>
      </w:r>
      <w:r w:rsidR="00262ECA">
        <w:rPr>
          <w:i/>
          <w:iCs/>
        </w:rPr>
        <w:t>C</w:t>
      </w:r>
      <w:r w:rsidR="00262ECA" w:rsidRPr="007A4305">
        <w:rPr>
          <w:i/>
          <w:iCs/>
        </w:rPr>
        <w:t>asinos du Québec</w:t>
      </w:r>
      <w:r w:rsidR="003E688C">
        <w:rPr>
          <w:szCs w:val="24"/>
        </w:rPr>
        <w:t xml:space="preserve"> </w:t>
      </w:r>
      <w:r w:rsidR="00550D88">
        <w:rPr>
          <w:szCs w:val="24"/>
        </w:rPr>
        <w:t>t</w:t>
      </w:r>
      <w:r w:rsidR="00421812">
        <w:rPr>
          <w:szCs w:val="24"/>
        </w:rPr>
        <w:t>he</w:t>
      </w:r>
      <w:r w:rsidR="00550D88">
        <w:rPr>
          <w:szCs w:val="24"/>
        </w:rPr>
        <w:t xml:space="preserve"> managerial </w:t>
      </w:r>
      <w:r w:rsidR="00F30F4D">
        <w:rPr>
          <w:szCs w:val="24"/>
        </w:rPr>
        <w:t>exclusion</w:t>
      </w:r>
      <w:r w:rsidR="00550D88">
        <w:rPr>
          <w:szCs w:val="24"/>
        </w:rPr>
        <w:t xml:space="preserve"> </w:t>
      </w:r>
      <w:r w:rsidR="008512E9">
        <w:rPr>
          <w:szCs w:val="24"/>
        </w:rPr>
        <w:t xml:space="preserve">was </w:t>
      </w:r>
      <w:r w:rsidR="0018378E">
        <w:rPr>
          <w:szCs w:val="24"/>
        </w:rPr>
        <w:t>not cut</w:t>
      </w:r>
      <w:r w:rsidR="00550D88">
        <w:rPr>
          <w:szCs w:val="24"/>
        </w:rPr>
        <w:t xml:space="preserve"> </w:t>
      </w:r>
      <w:r w:rsidR="0018378E">
        <w:rPr>
          <w:szCs w:val="24"/>
        </w:rPr>
        <w:t xml:space="preserve">from the statutory regime </w:t>
      </w:r>
      <w:r w:rsidR="008512E9">
        <w:rPr>
          <w:szCs w:val="24"/>
        </w:rPr>
        <w:t xml:space="preserve">but also </w:t>
      </w:r>
      <w:r w:rsidR="00550D88">
        <w:rPr>
          <w:szCs w:val="24"/>
        </w:rPr>
        <w:t>not pasted</w:t>
      </w:r>
      <w:r w:rsidR="0018378E">
        <w:rPr>
          <w:szCs w:val="24"/>
        </w:rPr>
        <w:t xml:space="preserve"> into the constitutional one.</w:t>
      </w:r>
    </w:p>
    <w:p w14:paraId="0FBC525B" w14:textId="5D1D984F" w:rsidR="000730C6" w:rsidRDefault="000730C6" w:rsidP="000730C6">
      <w:pPr>
        <w:spacing w:line="240" w:lineRule="auto"/>
        <w:rPr>
          <w:szCs w:val="24"/>
        </w:rPr>
      </w:pPr>
    </w:p>
    <w:p w14:paraId="2C875083" w14:textId="674B5834" w:rsidR="00DD1409" w:rsidRPr="00DD1409" w:rsidRDefault="00DD1409" w:rsidP="000730C6">
      <w:pPr>
        <w:spacing w:line="240" w:lineRule="auto"/>
        <w:rPr>
          <w:b/>
          <w:bCs/>
          <w:szCs w:val="24"/>
        </w:rPr>
      </w:pPr>
      <w:proofErr w:type="gramStart"/>
      <w:r w:rsidRPr="00DD1409">
        <w:rPr>
          <w:b/>
          <w:bCs/>
          <w:szCs w:val="24"/>
        </w:rPr>
        <w:t>III  What</w:t>
      </w:r>
      <w:proofErr w:type="gramEnd"/>
      <w:r w:rsidRPr="00DD1409">
        <w:rPr>
          <w:b/>
          <w:bCs/>
          <w:szCs w:val="24"/>
        </w:rPr>
        <w:t xml:space="preserve"> are we to make of that?</w:t>
      </w:r>
    </w:p>
    <w:p w14:paraId="2617E67A" w14:textId="2FC3FEFD" w:rsidR="006E5059" w:rsidRPr="004D1AC3" w:rsidRDefault="00DD1409" w:rsidP="000730C6">
      <w:pPr>
        <w:spacing w:line="240" w:lineRule="auto"/>
        <w:rPr>
          <w:szCs w:val="24"/>
        </w:rPr>
      </w:pPr>
      <w:r>
        <w:rPr>
          <w:szCs w:val="24"/>
        </w:rPr>
        <w:t xml:space="preserve">  </w:t>
      </w:r>
      <w:r w:rsidR="00F821E3" w:rsidRPr="004D1AC3">
        <w:rPr>
          <w:szCs w:val="24"/>
        </w:rPr>
        <w:t>Our collective bargaining statutes are amazing legal creat</w:t>
      </w:r>
      <w:r w:rsidR="00095556" w:rsidRPr="004D1AC3">
        <w:rPr>
          <w:szCs w:val="24"/>
        </w:rPr>
        <w:t>ions</w:t>
      </w:r>
      <w:r w:rsidR="00F821E3" w:rsidRPr="004D1AC3">
        <w:rPr>
          <w:szCs w:val="24"/>
        </w:rPr>
        <w:t>. Their point was to completely eliminate the common law of freedom of association</w:t>
      </w:r>
      <w:r w:rsidR="003C7C4E" w:rsidRPr="004D1AC3">
        <w:rPr>
          <w:szCs w:val="24"/>
        </w:rPr>
        <w:t xml:space="preserve"> (a very complex distribution of right/duties and freedoms) </w:t>
      </w:r>
      <w:r w:rsidR="00FB364B" w:rsidRPr="004D1AC3">
        <w:rPr>
          <w:szCs w:val="24"/>
        </w:rPr>
        <w:t>and</w:t>
      </w:r>
      <w:r w:rsidR="003C7C4E" w:rsidRPr="004D1AC3">
        <w:rPr>
          <w:szCs w:val="24"/>
        </w:rPr>
        <w:t xml:space="preserve"> replace it on every point of law</w:t>
      </w:r>
      <w:r w:rsidR="00DD56F2">
        <w:rPr>
          <w:szCs w:val="24"/>
        </w:rPr>
        <w:t>:</w:t>
      </w:r>
      <w:r w:rsidR="003C7C4E" w:rsidRPr="004D1AC3">
        <w:rPr>
          <w:szCs w:val="24"/>
        </w:rPr>
        <w:t xml:space="preserve"> </w:t>
      </w:r>
      <w:r w:rsidR="003B416D">
        <w:rPr>
          <w:szCs w:val="24"/>
        </w:rPr>
        <w:t>C</w:t>
      </w:r>
      <w:r w:rsidR="00FB364B" w:rsidRPr="004D1AC3">
        <w:rPr>
          <w:szCs w:val="24"/>
        </w:rPr>
        <w:t>an unions exist? Can the</w:t>
      </w:r>
      <w:r w:rsidR="003B416D">
        <w:rPr>
          <w:szCs w:val="24"/>
        </w:rPr>
        <w:t>y</w:t>
      </w:r>
      <w:r w:rsidR="00FB364B" w:rsidRPr="004D1AC3">
        <w:rPr>
          <w:szCs w:val="24"/>
        </w:rPr>
        <w:t xml:space="preserve"> demand that an </w:t>
      </w:r>
      <w:r w:rsidR="00FB364B" w:rsidRPr="004D1AC3">
        <w:rPr>
          <w:szCs w:val="24"/>
        </w:rPr>
        <w:lastRenderedPageBreak/>
        <w:t>emp</w:t>
      </w:r>
      <w:r w:rsidR="00DE3F3E" w:rsidRPr="004D1AC3">
        <w:rPr>
          <w:szCs w:val="24"/>
        </w:rPr>
        <w:t>l</w:t>
      </w:r>
      <w:r w:rsidR="00FB364B" w:rsidRPr="004D1AC3">
        <w:rPr>
          <w:szCs w:val="24"/>
        </w:rPr>
        <w:t>oyer bargain? Must an employer bargain? Can the employer fire workers who join unions? Who</w:t>
      </w:r>
      <w:r w:rsidR="00F5159C" w:rsidRPr="004D1AC3">
        <w:rPr>
          <w:szCs w:val="24"/>
        </w:rPr>
        <w:t xml:space="preserve"> </w:t>
      </w:r>
      <w:r w:rsidR="006A2F13" w:rsidRPr="004D1AC3">
        <w:rPr>
          <w:szCs w:val="24"/>
        </w:rPr>
        <w:t>can strike</w:t>
      </w:r>
      <w:r w:rsidR="00FB364B" w:rsidRPr="004D1AC3">
        <w:rPr>
          <w:szCs w:val="24"/>
        </w:rPr>
        <w:t xml:space="preserve">? </w:t>
      </w:r>
      <w:r w:rsidR="003A567D">
        <w:rPr>
          <w:szCs w:val="24"/>
        </w:rPr>
        <w:t xml:space="preserve">Can employees be fired </w:t>
      </w:r>
      <w:r w:rsidR="00B00847">
        <w:rPr>
          <w:szCs w:val="24"/>
        </w:rPr>
        <w:t xml:space="preserve">for </w:t>
      </w:r>
      <w:r w:rsidR="003A567D">
        <w:rPr>
          <w:szCs w:val="24"/>
        </w:rPr>
        <w:t xml:space="preserve">striking? </w:t>
      </w:r>
      <w:r w:rsidR="00FB364B" w:rsidRPr="004D1AC3">
        <w:rPr>
          <w:szCs w:val="24"/>
        </w:rPr>
        <w:t xml:space="preserve">Are strikes for recognition permitted? Are collective </w:t>
      </w:r>
      <w:r w:rsidR="006E5059" w:rsidRPr="004D1AC3">
        <w:rPr>
          <w:szCs w:val="24"/>
        </w:rPr>
        <w:t>agreements</w:t>
      </w:r>
      <w:r w:rsidR="00FB364B" w:rsidRPr="004D1AC3">
        <w:rPr>
          <w:szCs w:val="24"/>
        </w:rPr>
        <w:t xml:space="preserve"> </w:t>
      </w:r>
      <w:r w:rsidR="00277890" w:rsidRPr="004D1AC3">
        <w:rPr>
          <w:szCs w:val="24"/>
        </w:rPr>
        <w:t xml:space="preserve">enforceable? How? And </w:t>
      </w:r>
      <w:r w:rsidR="006E5059" w:rsidRPr="004D1AC3">
        <w:rPr>
          <w:szCs w:val="24"/>
        </w:rPr>
        <w:t xml:space="preserve">on </w:t>
      </w:r>
      <w:r w:rsidR="00277890" w:rsidRPr="004D1AC3">
        <w:rPr>
          <w:szCs w:val="24"/>
        </w:rPr>
        <w:t xml:space="preserve">and on and on and on. Not only was the common law </w:t>
      </w:r>
      <w:r w:rsidR="006E5059" w:rsidRPr="004D1AC3">
        <w:rPr>
          <w:szCs w:val="24"/>
        </w:rPr>
        <w:t>exiled</w:t>
      </w:r>
      <w:r w:rsidR="00277890" w:rsidRPr="004D1AC3">
        <w:rPr>
          <w:szCs w:val="24"/>
        </w:rPr>
        <w:t>, so were the judges who</w:t>
      </w:r>
      <w:r w:rsidR="00DA6581" w:rsidRPr="004D1AC3">
        <w:rPr>
          <w:szCs w:val="24"/>
        </w:rPr>
        <w:t xml:space="preserve"> created </w:t>
      </w:r>
      <w:r w:rsidR="00277890" w:rsidRPr="004D1AC3">
        <w:rPr>
          <w:szCs w:val="24"/>
        </w:rPr>
        <w:t xml:space="preserve">and enforced </w:t>
      </w:r>
      <w:r w:rsidR="00DA6581" w:rsidRPr="004D1AC3">
        <w:rPr>
          <w:szCs w:val="24"/>
        </w:rPr>
        <w:t>that law</w:t>
      </w:r>
      <w:r w:rsidR="00277890" w:rsidRPr="004D1AC3">
        <w:rPr>
          <w:szCs w:val="24"/>
        </w:rPr>
        <w:t>. This procedural/institutional shift to arbitrators and labour relations boards was part of the political/legal package</w:t>
      </w:r>
      <w:r w:rsidR="00DA6581" w:rsidRPr="004D1AC3">
        <w:rPr>
          <w:szCs w:val="24"/>
        </w:rPr>
        <w:t xml:space="preserve"> which is </w:t>
      </w:r>
      <w:r w:rsidR="00E54DD3">
        <w:rPr>
          <w:szCs w:val="24"/>
        </w:rPr>
        <w:t>“</w:t>
      </w:r>
      <w:r w:rsidR="00DA6581" w:rsidRPr="004D1AC3">
        <w:rPr>
          <w:szCs w:val="24"/>
        </w:rPr>
        <w:t>The Wagner Act Model</w:t>
      </w:r>
      <w:r w:rsidR="009C62E1">
        <w:rPr>
          <w:szCs w:val="24"/>
        </w:rPr>
        <w:t>.</w:t>
      </w:r>
      <w:r w:rsidR="00E54DD3">
        <w:rPr>
          <w:szCs w:val="24"/>
        </w:rPr>
        <w:t>”</w:t>
      </w:r>
      <w:r w:rsidR="00277890" w:rsidRPr="004D1AC3">
        <w:rPr>
          <w:szCs w:val="24"/>
        </w:rPr>
        <w:t xml:space="preserve"> </w:t>
      </w:r>
    </w:p>
    <w:p w14:paraId="155D7303" w14:textId="3013B792" w:rsidR="000730C6" w:rsidRDefault="000730C6" w:rsidP="000730C6">
      <w:pPr>
        <w:spacing w:line="240" w:lineRule="auto"/>
        <w:rPr>
          <w:szCs w:val="24"/>
        </w:rPr>
      </w:pPr>
    </w:p>
    <w:p w14:paraId="0CFD28C4" w14:textId="6BF3D64C" w:rsidR="00DA6581" w:rsidRPr="004D1AC3" w:rsidRDefault="006E5059" w:rsidP="000730C6">
      <w:pPr>
        <w:spacing w:line="240" w:lineRule="auto"/>
        <w:rPr>
          <w:szCs w:val="24"/>
        </w:rPr>
      </w:pPr>
      <w:r w:rsidRPr="004D1AC3">
        <w:rPr>
          <w:szCs w:val="24"/>
        </w:rPr>
        <w:t>Furthermore,</w:t>
      </w:r>
      <w:r w:rsidR="00277890" w:rsidRPr="004D1AC3">
        <w:rPr>
          <w:szCs w:val="24"/>
        </w:rPr>
        <w:t xml:space="preserve"> the statutes </w:t>
      </w:r>
      <w:r w:rsidR="00573FCC" w:rsidRPr="004D1AC3">
        <w:rPr>
          <w:szCs w:val="24"/>
        </w:rPr>
        <w:t>are very comple</w:t>
      </w:r>
      <w:r w:rsidR="00DB73A8" w:rsidRPr="004D1AC3">
        <w:rPr>
          <w:szCs w:val="24"/>
        </w:rPr>
        <w:t xml:space="preserve">x, </w:t>
      </w:r>
      <w:r w:rsidR="00573FCC" w:rsidRPr="004D1AC3">
        <w:rPr>
          <w:szCs w:val="24"/>
        </w:rPr>
        <w:t xml:space="preserve">containing major “gives” and “takes” for workers. </w:t>
      </w:r>
      <w:r w:rsidR="00997804" w:rsidRPr="004D1AC3">
        <w:rPr>
          <w:szCs w:val="24"/>
        </w:rPr>
        <w:t xml:space="preserve">There are major trade-offs involved. </w:t>
      </w:r>
      <w:r w:rsidR="00573FCC" w:rsidRPr="004D1AC3">
        <w:rPr>
          <w:szCs w:val="24"/>
        </w:rPr>
        <w:t>For example</w:t>
      </w:r>
      <w:r w:rsidR="00DB73A8" w:rsidRPr="004D1AC3">
        <w:rPr>
          <w:szCs w:val="24"/>
        </w:rPr>
        <w:t xml:space="preserve">, your freedom to join a union is </w:t>
      </w:r>
      <w:r w:rsidR="00BE24A5" w:rsidRPr="004D1AC3">
        <w:rPr>
          <w:szCs w:val="24"/>
        </w:rPr>
        <w:t xml:space="preserve">still </w:t>
      </w:r>
      <w:r w:rsidR="00DB73A8" w:rsidRPr="004D1AC3">
        <w:rPr>
          <w:szCs w:val="24"/>
        </w:rPr>
        <w:t>protected</w:t>
      </w:r>
      <w:r w:rsidR="00CF18D4" w:rsidRPr="004D1AC3">
        <w:rPr>
          <w:szCs w:val="24"/>
        </w:rPr>
        <w:t>. But employees have a new right/duty relationship with their employer</w:t>
      </w:r>
      <w:r w:rsidR="00966254">
        <w:rPr>
          <w:szCs w:val="24"/>
        </w:rPr>
        <w:t>,</w:t>
      </w:r>
      <w:r w:rsidR="00CF18D4" w:rsidRPr="004D1AC3">
        <w:rPr>
          <w:szCs w:val="24"/>
        </w:rPr>
        <w:t xml:space="preserve"> which places a duty on the employer not to fire an employee who does so.</w:t>
      </w:r>
      <w:r w:rsidR="00EC0216" w:rsidRPr="004D1AC3">
        <w:rPr>
          <w:szCs w:val="24"/>
        </w:rPr>
        <w:t xml:space="preserve"> </w:t>
      </w:r>
      <w:r w:rsidR="006F2C21">
        <w:rPr>
          <w:szCs w:val="24"/>
        </w:rPr>
        <w:t>Put another way, e</w:t>
      </w:r>
      <w:r w:rsidR="00EC0216" w:rsidRPr="004D1AC3">
        <w:rPr>
          <w:szCs w:val="24"/>
        </w:rPr>
        <w:t xml:space="preserve">mployees </w:t>
      </w:r>
      <w:r w:rsidR="00BE24A5" w:rsidRPr="004D1AC3">
        <w:rPr>
          <w:szCs w:val="24"/>
        </w:rPr>
        <w:t>still have the freedom</w:t>
      </w:r>
      <w:r w:rsidR="00EC0216" w:rsidRPr="004D1AC3">
        <w:rPr>
          <w:szCs w:val="24"/>
        </w:rPr>
        <w:t xml:space="preserve"> </w:t>
      </w:r>
      <w:r w:rsidR="00BE24A5" w:rsidRPr="004D1AC3">
        <w:rPr>
          <w:szCs w:val="24"/>
        </w:rPr>
        <w:t>to strike</w:t>
      </w:r>
      <w:r w:rsidR="003378ED" w:rsidRPr="004D1AC3">
        <w:rPr>
          <w:szCs w:val="24"/>
        </w:rPr>
        <w:t>,</w:t>
      </w:r>
      <w:r w:rsidR="00BE24A5" w:rsidRPr="004D1AC3">
        <w:rPr>
          <w:szCs w:val="24"/>
        </w:rPr>
        <w:t xml:space="preserve"> </w:t>
      </w:r>
      <w:r w:rsidR="00EC0216" w:rsidRPr="004D1AC3">
        <w:rPr>
          <w:szCs w:val="24"/>
        </w:rPr>
        <w:t>which they ha</w:t>
      </w:r>
      <w:r w:rsidR="003378ED" w:rsidRPr="004D1AC3">
        <w:rPr>
          <w:szCs w:val="24"/>
        </w:rPr>
        <w:t>d</w:t>
      </w:r>
      <w:r w:rsidR="00EC0216" w:rsidRPr="004D1AC3">
        <w:rPr>
          <w:szCs w:val="24"/>
        </w:rPr>
        <w:t xml:space="preserve"> at common law</w:t>
      </w:r>
      <w:r w:rsidR="003378ED" w:rsidRPr="004D1AC3">
        <w:rPr>
          <w:szCs w:val="24"/>
        </w:rPr>
        <w:t>,</w:t>
      </w:r>
      <w:r w:rsidR="00EC0216" w:rsidRPr="004D1AC3">
        <w:rPr>
          <w:szCs w:val="24"/>
        </w:rPr>
        <w:t xml:space="preserve"> but </w:t>
      </w:r>
      <w:r w:rsidR="00D52018" w:rsidRPr="004D1AC3">
        <w:rPr>
          <w:szCs w:val="24"/>
        </w:rPr>
        <w:t>now it</w:t>
      </w:r>
      <w:r w:rsidR="00BE24A5" w:rsidRPr="004D1AC3">
        <w:rPr>
          <w:szCs w:val="24"/>
        </w:rPr>
        <w:t xml:space="preserve"> is protected by a new right</w:t>
      </w:r>
      <w:r w:rsidR="00D52018" w:rsidRPr="004D1AC3">
        <w:rPr>
          <w:szCs w:val="24"/>
        </w:rPr>
        <w:t>/d</w:t>
      </w:r>
      <w:r w:rsidR="00BE24A5" w:rsidRPr="004D1AC3">
        <w:rPr>
          <w:szCs w:val="24"/>
        </w:rPr>
        <w:t xml:space="preserve">uty relationship </w:t>
      </w:r>
      <w:r w:rsidR="00D52018" w:rsidRPr="004D1AC3">
        <w:rPr>
          <w:szCs w:val="24"/>
        </w:rPr>
        <w:t>(</w:t>
      </w:r>
      <w:r w:rsidR="00BE24A5" w:rsidRPr="004D1AC3">
        <w:rPr>
          <w:szCs w:val="24"/>
        </w:rPr>
        <w:t xml:space="preserve">which did not exist </w:t>
      </w:r>
      <w:r w:rsidR="00D52018" w:rsidRPr="004D1AC3">
        <w:rPr>
          <w:szCs w:val="24"/>
        </w:rPr>
        <w:t>at common law)</w:t>
      </w:r>
      <w:r w:rsidR="00966254">
        <w:rPr>
          <w:szCs w:val="24"/>
        </w:rPr>
        <w:t>,</w:t>
      </w:r>
      <w:r w:rsidR="00BE24A5" w:rsidRPr="004D1AC3">
        <w:rPr>
          <w:szCs w:val="24"/>
        </w:rPr>
        <w:t xml:space="preserve"> which </w:t>
      </w:r>
      <w:r w:rsidR="005533CA" w:rsidRPr="004D1AC3">
        <w:rPr>
          <w:szCs w:val="24"/>
        </w:rPr>
        <w:t>places a duty on the employer not to fire you if you do strike. But th</w:t>
      </w:r>
      <w:r w:rsidR="00CA7A8C">
        <w:rPr>
          <w:szCs w:val="24"/>
        </w:rPr>
        <w:t>ese</w:t>
      </w:r>
      <w:r w:rsidR="005533CA" w:rsidRPr="004D1AC3">
        <w:rPr>
          <w:szCs w:val="24"/>
        </w:rPr>
        <w:t xml:space="preserve"> </w:t>
      </w:r>
      <w:r w:rsidR="00A50622" w:rsidRPr="004D1AC3">
        <w:rPr>
          <w:szCs w:val="24"/>
        </w:rPr>
        <w:t xml:space="preserve">new </w:t>
      </w:r>
      <w:r w:rsidR="00CA7A8C">
        <w:rPr>
          <w:szCs w:val="24"/>
        </w:rPr>
        <w:t xml:space="preserve">legal relationships </w:t>
      </w:r>
      <w:r w:rsidR="005533CA" w:rsidRPr="004D1AC3">
        <w:rPr>
          <w:szCs w:val="24"/>
        </w:rPr>
        <w:t xml:space="preserve">come </w:t>
      </w:r>
      <w:r w:rsidR="00CA7A8C">
        <w:rPr>
          <w:szCs w:val="24"/>
        </w:rPr>
        <w:t>with strings attached. Complex strings</w:t>
      </w:r>
      <w:r w:rsidR="003758A5">
        <w:rPr>
          <w:szCs w:val="24"/>
        </w:rPr>
        <w:t xml:space="preserve"> in the form of</w:t>
      </w:r>
      <w:r w:rsidR="00A50622" w:rsidRPr="004D1AC3">
        <w:rPr>
          <w:szCs w:val="24"/>
        </w:rPr>
        <w:t xml:space="preserve"> </w:t>
      </w:r>
      <w:r w:rsidR="005533CA" w:rsidRPr="004D1AC3">
        <w:rPr>
          <w:szCs w:val="24"/>
        </w:rPr>
        <w:t xml:space="preserve">new restrictions on the freedom to strike </w:t>
      </w:r>
      <w:r w:rsidR="006A2F13" w:rsidRPr="00366C05">
        <w:rPr>
          <w:szCs w:val="24"/>
        </w:rPr>
        <w:t>—</w:t>
      </w:r>
      <w:r w:rsidR="005533CA" w:rsidRPr="004D1AC3">
        <w:rPr>
          <w:szCs w:val="24"/>
        </w:rPr>
        <w:t xml:space="preserve"> </w:t>
      </w:r>
      <w:r w:rsidR="00EC0216" w:rsidRPr="004D1AC3">
        <w:rPr>
          <w:szCs w:val="24"/>
        </w:rPr>
        <w:t>you can no longer stri</w:t>
      </w:r>
      <w:r w:rsidR="00DE3F3E" w:rsidRPr="004D1AC3">
        <w:rPr>
          <w:szCs w:val="24"/>
        </w:rPr>
        <w:t>ke for recognition</w:t>
      </w:r>
      <w:r w:rsidR="006F092D" w:rsidRPr="004D1AC3">
        <w:rPr>
          <w:szCs w:val="24"/>
        </w:rPr>
        <w:t>. That is now illegal. Collective agreements are now</w:t>
      </w:r>
      <w:r w:rsidR="00F42B60" w:rsidRPr="004D1AC3">
        <w:rPr>
          <w:szCs w:val="24"/>
        </w:rPr>
        <w:t xml:space="preserve">, unlike </w:t>
      </w:r>
      <w:r w:rsidR="00F9319C">
        <w:rPr>
          <w:szCs w:val="24"/>
        </w:rPr>
        <w:t xml:space="preserve">at </w:t>
      </w:r>
      <w:r w:rsidR="00F42B60" w:rsidRPr="004D1AC3">
        <w:rPr>
          <w:szCs w:val="24"/>
        </w:rPr>
        <w:t>common la</w:t>
      </w:r>
      <w:r w:rsidR="00CF18D4" w:rsidRPr="004D1AC3">
        <w:rPr>
          <w:szCs w:val="24"/>
        </w:rPr>
        <w:t>w</w:t>
      </w:r>
      <w:r w:rsidR="00F42B60" w:rsidRPr="004D1AC3">
        <w:rPr>
          <w:szCs w:val="24"/>
        </w:rPr>
        <w:t>,</w:t>
      </w:r>
      <w:r w:rsidR="006F092D" w:rsidRPr="004D1AC3">
        <w:rPr>
          <w:szCs w:val="24"/>
        </w:rPr>
        <w:t xml:space="preserve"> enforceable</w:t>
      </w:r>
      <w:r w:rsidR="00F42B60" w:rsidRPr="004D1AC3">
        <w:rPr>
          <w:szCs w:val="24"/>
        </w:rPr>
        <w:t>. B</w:t>
      </w:r>
      <w:r w:rsidR="004E2446" w:rsidRPr="004D1AC3">
        <w:rPr>
          <w:szCs w:val="24"/>
        </w:rPr>
        <w:t>ut</w:t>
      </w:r>
      <w:r w:rsidR="00F42B60" w:rsidRPr="004D1AC3">
        <w:rPr>
          <w:szCs w:val="24"/>
        </w:rPr>
        <w:t xml:space="preserve"> your </w:t>
      </w:r>
      <w:r w:rsidR="004E2446" w:rsidRPr="004D1AC3">
        <w:rPr>
          <w:szCs w:val="24"/>
        </w:rPr>
        <w:t>freedom</w:t>
      </w:r>
      <w:r w:rsidR="00F42B60" w:rsidRPr="004D1AC3">
        <w:rPr>
          <w:szCs w:val="24"/>
        </w:rPr>
        <w:t xml:space="preserve"> to strike to complain about a </w:t>
      </w:r>
      <w:r w:rsidR="004E2446" w:rsidRPr="004D1AC3">
        <w:rPr>
          <w:szCs w:val="24"/>
        </w:rPr>
        <w:t>violation</w:t>
      </w:r>
      <w:r w:rsidR="00F42B60" w:rsidRPr="004D1AC3">
        <w:rPr>
          <w:szCs w:val="24"/>
        </w:rPr>
        <w:t xml:space="preserve"> is taken away</w:t>
      </w:r>
      <w:r w:rsidR="004E2446" w:rsidRPr="004D1AC3">
        <w:rPr>
          <w:szCs w:val="24"/>
        </w:rPr>
        <w:t xml:space="preserve"> </w:t>
      </w:r>
      <w:r w:rsidR="006A2F13" w:rsidRPr="00366C05">
        <w:rPr>
          <w:szCs w:val="24"/>
        </w:rPr>
        <w:t>—</w:t>
      </w:r>
      <w:r w:rsidR="004E2446" w:rsidRPr="004D1AC3">
        <w:rPr>
          <w:szCs w:val="24"/>
        </w:rPr>
        <w:t xml:space="preserve"> a</w:t>
      </w:r>
      <w:r w:rsidR="00F42B60" w:rsidRPr="004D1AC3">
        <w:rPr>
          <w:szCs w:val="24"/>
        </w:rPr>
        <w:t xml:space="preserve">nd replaced by </w:t>
      </w:r>
      <w:r w:rsidR="004E2446" w:rsidRPr="004D1AC3">
        <w:rPr>
          <w:szCs w:val="24"/>
        </w:rPr>
        <w:t xml:space="preserve">compulsory </w:t>
      </w:r>
      <w:r w:rsidR="006F2C21">
        <w:rPr>
          <w:szCs w:val="24"/>
        </w:rPr>
        <w:t xml:space="preserve">grievance </w:t>
      </w:r>
      <w:r w:rsidR="00F42B60" w:rsidRPr="004D1AC3">
        <w:rPr>
          <w:szCs w:val="24"/>
        </w:rPr>
        <w:t>arbitration</w:t>
      </w:r>
      <w:r w:rsidR="004E2446" w:rsidRPr="004D1AC3">
        <w:rPr>
          <w:szCs w:val="24"/>
        </w:rPr>
        <w:t xml:space="preserve">. </w:t>
      </w:r>
      <w:r w:rsidR="00CF18D4" w:rsidRPr="004D1AC3">
        <w:rPr>
          <w:szCs w:val="24"/>
        </w:rPr>
        <w:t xml:space="preserve">You have the </w:t>
      </w:r>
      <w:r w:rsidR="007977C3" w:rsidRPr="004D1AC3">
        <w:rPr>
          <w:szCs w:val="24"/>
        </w:rPr>
        <w:t>freedom</w:t>
      </w:r>
      <w:r w:rsidR="00CF18D4" w:rsidRPr="004D1AC3">
        <w:rPr>
          <w:szCs w:val="24"/>
        </w:rPr>
        <w:t xml:space="preserve"> to strike</w:t>
      </w:r>
      <w:r w:rsidR="007977C3" w:rsidRPr="004D1AC3">
        <w:rPr>
          <w:szCs w:val="24"/>
        </w:rPr>
        <w:t xml:space="preserve">, protected by the new </w:t>
      </w:r>
      <w:r w:rsidR="007E7547" w:rsidRPr="004D1AC3">
        <w:rPr>
          <w:szCs w:val="24"/>
        </w:rPr>
        <w:t>(correctly called</w:t>
      </w:r>
      <w:r w:rsidR="006E199A">
        <w:rPr>
          <w:szCs w:val="24"/>
        </w:rPr>
        <w:t>,</w:t>
      </w:r>
      <w:r w:rsidR="007E7547" w:rsidRPr="004D1AC3">
        <w:rPr>
          <w:szCs w:val="24"/>
        </w:rPr>
        <w:t xml:space="preserve"> in my view</w:t>
      </w:r>
      <w:r w:rsidR="006E199A">
        <w:rPr>
          <w:szCs w:val="24"/>
        </w:rPr>
        <w:t>,</w:t>
      </w:r>
      <w:r w:rsidR="007E7547" w:rsidRPr="004D1AC3">
        <w:rPr>
          <w:szCs w:val="24"/>
        </w:rPr>
        <w:t xml:space="preserve"> “</w:t>
      </w:r>
      <w:r w:rsidR="007977C3" w:rsidRPr="004D1AC3">
        <w:rPr>
          <w:szCs w:val="24"/>
        </w:rPr>
        <w:t>derivative</w:t>
      </w:r>
      <w:r w:rsidR="007E7547" w:rsidRPr="004D1AC3">
        <w:rPr>
          <w:szCs w:val="24"/>
        </w:rPr>
        <w:t>”</w:t>
      </w:r>
      <w:bookmarkStart w:id="9" w:name="_Ref178273468"/>
      <w:r w:rsidR="007E7547" w:rsidRPr="004D1AC3">
        <w:rPr>
          <w:rStyle w:val="FootnoteReference"/>
          <w:szCs w:val="24"/>
        </w:rPr>
        <w:footnoteReference w:id="24"/>
      </w:r>
      <w:bookmarkEnd w:id="9"/>
      <w:r w:rsidR="006A2F13">
        <w:rPr>
          <w:szCs w:val="24"/>
        </w:rPr>
        <w:t xml:space="preserve"> </w:t>
      </w:r>
      <w:r w:rsidR="007977C3" w:rsidRPr="004D1AC3">
        <w:rPr>
          <w:szCs w:val="24"/>
        </w:rPr>
        <w:t xml:space="preserve">right/duty </w:t>
      </w:r>
      <w:r w:rsidR="007E7547" w:rsidRPr="004D1AC3">
        <w:rPr>
          <w:szCs w:val="24"/>
        </w:rPr>
        <w:t>relationship</w:t>
      </w:r>
      <w:r w:rsidR="007977C3" w:rsidRPr="004D1AC3">
        <w:rPr>
          <w:szCs w:val="24"/>
        </w:rPr>
        <w:t xml:space="preserve"> not to be fired for so doing</w:t>
      </w:r>
      <w:r w:rsidR="000346D1" w:rsidRPr="004D1AC3">
        <w:rPr>
          <w:szCs w:val="24"/>
        </w:rPr>
        <w:t>)</w:t>
      </w:r>
      <w:r w:rsidR="007E7547" w:rsidRPr="004D1AC3">
        <w:rPr>
          <w:szCs w:val="24"/>
        </w:rPr>
        <w:t xml:space="preserve"> </w:t>
      </w:r>
      <w:r w:rsidR="00D3657E" w:rsidRPr="004D1AC3">
        <w:rPr>
          <w:szCs w:val="24"/>
        </w:rPr>
        <w:t>b</w:t>
      </w:r>
      <w:r w:rsidR="00CF18D4" w:rsidRPr="004D1AC3">
        <w:rPr>
          <w:szCs w:val="24"/>
        </w:rPr>
        <w:t xml:space="preserve">ut only for one purpose </w:t>
      </w:r>
      <w:r w:rsidR="006A2F13" w:rsidRPr="00366C05">
        <w:rPr>
          <w:szCs w:val="24"/>
        </w:rPr>
        <w:t>—</w:t>
      </w:r>
      <w:r w:rsidR="00CF18D4" w:rsidRPr="004D1AC3">
        <w:rPr>
          <w:szCs w:val="24"/>
        </w:rPr>
        <w:t xml:space="preserve"> to obtain a collective agreement</w:t>
      </w:r>
      <w:r w:rsidR="00A52217" w:rsidRPr="004D1AC3">
        <w:rPr>
          <w:szCs w:val="24"/>
        </w:rPr>
        <w:t xml:space="preserve">. And </w:t>
      </w:r>
      <w:r w:rsidR="007E7547" w:rsidRPr="004D1AC3">
        <w:rPr>
          <w:szCs w:val="24"/>
        </w:rPr>
        <w:t xml:space="preserve">then </w:t>
      </w:r>
      <w:r w:rsidR="00A52217" w:rsidRPr="004D1AC3">
        <w:rPr>
          <w:szCs w:val="24"/>
        </w:rPr>
        <w:t>only after exhausting an exhausting statutory “</w:t>
      </w:r>
      <w:r w:rsidR="007E7547" w:rsidRPr="004D1AC3">
        <w:rPr>
          <w:szCs w:val="24"/>
        </w:rPr>
        <w:t>timetable</w:t>
      </w:r>
      <w:r w:rsidR="00A52217" w:rsidRPr="004D1AC3">
        <w:rPr>
          <w:szCs w:val="24"/>
        </w:rPr>
        <w:t>” (with compulsory conciliation, strike votes</w:t>
      </w:r>
      <w:r w:rsidR="006E199A">
        <w:rPr>
          <w:szCs w:val="24"/>
        </w:rPr>
        <w:t>,</w:t>
      </w:r>
      <w:r w:rsidR="00A52217" w:rsidRPr="004D1AC3">
        <w:rPr>
          <w:szCs w:val="24"/>
        </w:rPr>
        <w:t xml:space="preserve"> </w:t>
      </w:r>
      <w:r w:rsidR="007E7547" w:rsidRPr="004D1AC3">
        <w:rPr>
          <w:szCs w:val="24"/>
        </w:rPr>
        <w:t>“</w:t>
      </w:r>
      <w:r w:rsidR="00A52217" w:rsidRPr="004D1AC3">
        <w:rPr>
          <w:szCs w:val="24"/>
        </w:rPr>
        <w:t>cooling of</w:t>
      </w:r>
      <w:r w:rsidR="007E7547" w:rsidRPr="004D1AC3">
        <w:rPr>
          <w:szCs w:val="24"/>
        </w:rPr>
        <w:t>f”</w:t>
      </w:r>
      <w:r w:rsidR="00A52217" w:rsidRPr="004D1AC3">
        <w:rPr>
          <w:szCs w:val="24"/>
        </w:rPr>
        <w:t xml:space="preserve"> periods, </w:t>
      </w:r>
      <w:r w:rsidR="001F3F31" w:rsidRPr="004D1AC3">
        <w:rPr>
          <w:szCs w:val="24"/>
        </w:rPr>
        <w:t>etc.</w:t>
      </w:r>
      <w:r w:rsidR="00A52217" w:rsidRPr="004D1AC3">
        <w:rPr>
          <w:szCs w:val="24"/>
        </w:rPr>
        <w:t xml:space="preserve">). </w:t>
      </w:r>
      <w:r w:rsidR="004E2446" w:rsidRPr="004D1AC3">
        <w:rPr>
          <w:szCs w:val="24"/>
        </w:rPr>
        <w:t>And on and on and on and on.</w:t>
      </w:r>
    </w:p>
    <w:p w14:paraId="5B8D0158" w14:textId="7F761C06" w:rsidR="000730C6" w:rsidRDefault="000730C6" w:rsidP="000730C6">
      <w:pPr>
        <w:spacing w:line="240" w:lineRule="auto"/>
        <w:rPr>
          <w:szCs w:val="24"/>
        </w:rPr>
      </w:pPr>
    </w:p>
    <w:p w14:paraId="5D770E6D" w14:textId="72D92ACD" w:rsidR="00050500" w:rsidRPr="004D1AC3" w:rsidRDefault="007E7547" w:rsidP="000730C6">
      <w:pPr>
        <w:spacing w:line="240" w:lineRule="auto"/>
        <w:rPr>
          <w:szCs w:val="24"/>
        </w:rPr>
      </w:pPr>
      <w:r w:rsidRPr="004D1AC3">
        <w:rPr>
          <w:szCs w:val="24"/>
        </w:rPr>
        <w:t>You can see</w:t>
      </w:r>
      <w:r w:rsidR="00516A75">
        <w:rPr>
          <w:szCs w:val="24"/>
        </w:rPr>
        <w:t>, dear reader,</w:t>
      </w:r>
      <w:r w:rsidRPr="004D1AC3">
        <w:rPr>
          <w:szCs w:val="24"/>
        </w:rPr>
        <w:t xml:space="preserve"> where this is going. What will be the answer</w:t>
      </w:r>
      <w:r w:rsidR="00975355" w:rsidRPr="004D1AC3">
        <w:rPr>
          <w:szCs w:val="24"/>
        </w:rPr>
        <w:t xml:space="preserve">, in the parallel </w:t>
      </w:r>
      <w:r w:rsidR="00E93891">
        <w:rPr>
          <w:szCs w:val="24"/>
        </w:rPr>
        <w:t>judicial/</w:t>
      </w:r>
      <w:r w:rsidR="00E93891" w:rsidRPr="00140063">
        <w:rPr>
          <w:i/>
          <w:iCs/>
          <w:szCs w:val="24"/>
        </w:rPr>
        <w:t>Charter</w:t>
      </w:r>
      <w:r w:rsidR="00E93891">
        <w:rPr>
          <w:szCs w:val="24"/>
        </w:rPr>
        <w:t xml:space="preserve"> </w:t>
      </w:r>
      <w:r w:rsidR="00975355" w:rsidRPr="004D1AC3">
        <w:rPr>
          <w:szCs w:val="24"/>
        </w:rPr>
        <w:t>regime,</w:t>
      </w:r>
      <w:r w:rsidR="008512E9">
        <w:rPr>
          <w:szCs w:val="24"/>
        </w:rPr>
        <w:t xml:space="preserve"> now applicable to managers, </w:t>
      </w:r>
      <w:r w:rsidRPr="004D1AC3">
        <w:rPr>
          <w:szCs w:val="24"/>
        </w:rPr>
        <w:t>to all these questions</w:t>
      </w:r>
      <w:r w:rsidR="00155625" w:rsidRPr="004D1AC3">
        <w:rPr>
          <w:szCs w:val="24"/>
        </w:rPr>
        <w:t>?</w:t>
      </w:r>
      <w:r w:rsidRPr="004D1AC3">
        <w:rPr>
          <w:szCs w:val="24"/>
        </w:rPr>
        <w:t xml:space="preserve"> What will </w:t>
      </w:r>
      <w:r w:rsidR="00E86AD1" w:rsidRPr="004D1AC3">
        <w:rPr>
          <w:szCs w:val="24"/>
        </w:rPr>
        <w:t>be the</w:t>
      </w:r>
      <w:r w:rsidRPr="004D1AC3">
        <w:rPr>
          <w:szCs w:val="24"/>
        </w:rPr>
        <w:t xml:space="preserve"> complex set of trade</w:t>
      </w:r>
      <w:r w:rsidR="006C392C">
        <w:rPr>
          <w:szCs w:val="24"/>
        </w:rPr>
        <w:t>-</w:t>
      </w:r>
      <w:r w:rsidRPr="004D1AC3">
        <w:rPr>
          <w:szCs w:val="24"/>
        </w:rPr>
        <w:t>offs</w:t>
      </w:r>
      <w:r w:rsidR="003243C2" w:rsidRPr="004D1AC3">
        <w:rPr>
          <w:szCs w:val="24"/>
        </w:rPr>
        <w:t xml:space="preserve"> o</w:t>
      </w:r>
      <w:r w:rsidR="00155625" w:rsidRPr="004D1AC3">
        <w:rPr>
          <w:szCs w:val="24"/>
        </w:rPr>
        <w:t xml:space="preserve">nce we </w:t>
      </w:r>
      <w:r w:rsidR="00E86AD1" w:rsidRPr="004D1AC3">
        <w:rPr>
          <w:szCs w:val="24"/>
        </w:rPr>
        <w:t xml:space="preserve">leave </w:t>
      </w:r>
      <w:r w:rsidR="00396486">
        <w:rPr>
          <w:szCs w:val="24"/>
        </w:rPr>
        <w:t xml:space="preserve">the </w:t>
      </w:r>
      <w:r w:rsidR="00396486" w:rsidRPr="002A05FA">
        <w:rPr>
          <w:i/>
          <w:iCs/>
          <w:szCs w:val="24"/>
        </w:rPr>
        <w:t xml:space="preserve">terra </w:t>
      </w:r>
      <w:proofErr w:type="spellStart"/>
      <w:r w:rsidR="00396486" w:rsidRPr="002A05FA">
        <w:rPr>
          <w:i/>
          <w:iCs/>
          <w:szCs w:val="24"/>
        </w:rPr>
        <w:t>firma</w:t>
      </w:r>
      <w:proofErr w:type="spellEnd"/>
      <w:r w:rsidR="00396486">
        <w:rPr>
          <w:szCs w:val="24"/>
        </w:rPr>
        <w:t xml:space="preserve"> of the Wagner Act Model </w:t>
      </w:r>
      <w:r w:rsidR="00155625" w:rsidRPr="004D1AC3">
        <w:rPr>
          <w:szCs w:val="24"/>
        </w:rPr>
        <w:t xml:space="preserve">and set sail </w:t>
      </w:r>
      <w:r w:rsidR="003243C2" w:rsidRPr="004D1AC3">
        <w:rPr>
          <w:szCs w:val="24"/>
        </w:rPr>
        <w:t>with the</w:t>
      </w:r>
      <w:r w:rsidR="008125A8">
        <w:rPr>
          <w:szCs w:val="24"/>
        </w:rPr>
        <w:t xml:space="preserve"> </w:t>
      </w:r>
      <w:r w:rsidR="008125A8" w:rsidRPr="008125A8">
        <w:rPr>
          <w:szCs w:val="24"/>
        </w:rPr>
        <w:t>Supreme Court of Canada</w:t>
      </w:r>
      <w:r w:rsidR="003243C2" w:rsidRPr="004D1AC3">
        <w:rPr>
          <w:szCs w:val="24"/>
        </w:rPr>
        <w:t xml:space="preserve"> </w:t>
      </w:r>
      <w:r w:rsidR="008125A8">
        <w:rPr>
          <w:szCs w:val="24"/>
        </w:rPr>
        <w:t>(“</w:t>
      </w:r>
      <w:r w:rsidR="003243C2" w:rsidRPr="004D1AC3">
        <w:rPr>
          <w:szCs w:val="24"/>
        </w:rPr>
        <w:t>SCC</w:t>
      </w:r>
      <w:r w:rsidR="008125A8">
        <w:rPr>
          <w:szCs w:val="24"/>
        </w:rPr>
        <w:t>”)</w:t>
      </w:r>
      <w:r w:rsidR="003243C2" w:rsidRPr="004D1AC3">
        <w:rPr>
          <w:szCs w:val="24"/>
        </w:rPr>
        <w:t xml:space="preserve"> </w:t>
      </w:r>
      <w:r w:rsidR="00796EE8" w:rsidRPr="004D1AC3">
        <w:rPr>
          <w:szCs w:val="24"/>
        </w:rPr>
        <w:t xml:space="preserve">on board the good ship </w:t>
      </w:r>
      <w:r w:rsidR="00796EE8">
        <w:rPr>
          <w:szCs w:val="24"/>
        </w:rPr>
        <w:t>2(d</w:t>
      </w:r>
      <w:r w:rsidR="000D6E99">
        <w:rPr>
          <w:szCs w:val="24"/>
        </w:rPr>
        <w:t xml:space="preserve">) </w:t>
      </w:r>
      <w:r w:rsidR="000D6E99" w:rsidRPr="004D1AC3">
        <w:rPr>
          <w:szCs w:val="24"/>
        </w:rPr>
        <w:t>into</w:t>
      </w:r>
      <w:r w:rsidR="009F0B05">
        <w:rPr>
          <w:szCs w:val="24"/>
        </w:rPr>
        <w:t xml:space="preserve">, not uncharted, but </w:t>
      </w:r>
      <w:proofErr w:type="gramStart"/>
      <w:r w:rsidR="009F0B05">
        <w:rPr>
          <w:szCs w:val="24"/>
        </w:rPr>
        <w:t>Chartered</w:t>
      </w:r>
      <w:proofErr w:type="gramEnd"/>
      <w:r w:rsidR="009F0B05">
        <w:rPr>
          <w:szCs w:val="24"/>
        </w:rPr>
        <w:t xml:space="preserve"> legal waters?</w:t>
      </w:r>
      <w:r w:rsidR="00155625" w:rsidRPr="004D1AC3">
        <w:rPr>
          <w:szCs w:val="24"/>
        </w:rPr>
        <w:t xml:space="preserve"> </w:t>
      </w:r>
      <w:r w:rsidR="00AA4BD3">
        <w:rPr>
          <w:szCs w:val="24"/>
        </w:rPr>
        <w:t xml:space="preserve">Two </w:t>
      </w:r>
      <w:r w:rsidR="00155625" w:rsidRPr="004D1AC3">
        <w:rPr>
          <w:szCs w:val="24"/>
        </w:rPr>
        <w:t>thing</w:t>
      </w:r>
      <w:r w:rsidR="00AA4BD3">
        <w:rPr>
          <w:szCs w:val="24"/>
        </w:rPr>
        <w:t xml:space="preserve">s are </w:t>
      </w:r>
      <w:r w:rsidR="00155625" w:rsidRPr="004D1AC3">
        <w:rPr>
          <w:szCs w:val="24"/>
        </w:rPr>
        <w:t xml:space="preserve">clear. </w:t>
      </w:r>
      <w:r w:rsidR="00AA4BD3">
        <w:rPr>
          <w:szCs w:val="24"/>
        </w:rPr>
        <w:t xml:space="preserve">First, </w:t>
      </w:r>
      <w:r w:rsidR="00C41138">
        <w:rPr>
          <w:szCs w:val="24"/>
        </w:rPr>
        <w:t>t</w:t>
      </w:r>
      <w:r w:rsidR="00155625" w:rsidRPr="004D1AC3">
        <w:rPr>
          <w:szCs w:val="24"/>
        </w:rPr>
        <w:t xml:space="preserve">he judges </w:t>
      </w:r>
      <w:r w:rsidR="00155625" w:rsidRPr="0008650D">
        <w:rPr>
          <w:b/>
          <w:bCs/>
          <w:szCs w:val="24"/>
        </w:rPr>
        <w:t>are</w:t>
      </w:r>
      <w:r w:rsidR="00155625" w:rsidRPr="004D1AC3">
        <w:rPr>
          <w:szCs w:val="24"/>
        </w:rPr>
        <w:t xml:space="preserve"> </w:t>
      </w:r>
      <w:r w:rsidR="003243C2" w:rsidRPr="004D1AC3">
        <w:rPr>
          <w:szCs w:val="24"/>
        </w:rPr>
        <w:t>at the</w:t>
      </w:r>
      <w:r w:rsidR="00516A75">
        <w:rPr>
          <w:szCs w:val="24"/>
        </w:rPr>
        <w:t xml:space="preserve"> helm</w:t>
      </w:r>
      <w:r w:rsidR="00155625" w:rsidRPr="004D1AC3">
        <w:rPr>
          <w:szCs w:val="24"/>
        </w:rPr>
        <w:t xml:space="preserve">. Having been </w:t>
      </w:r>
      <w:r w:rsidR="004315A1" w:rsidRPr="004D1AC3">
        <w:rPr>
          <w:szCs w:val="24"/>
        </w:rPr>
        <w:t>shown the plank</w:t>
      </w:r>
      <w:r w:rsidR="00155625" w:rsidRPr="004D1AC3">
        <w:rPr>
          <w:szCs w:val="24"/>
        </w:rPr>
        <w:t xml:space="preserve">, along with their </w:t>
      </w:r>
      <w:r w:rsidR="00DA74AB">
        <w:rPr>
          <w:szCs w:val="24"/>
        </w:rPr>
        <w:t xml:space="preserve">common </w:t>
      </w:r>
      <w:r w:rsidR="00155625" w:rsidRPr="004D1AC3">
        <w:rPr>
          <w:szCs w:val="24"/>
        </w:rPr>
        <w:t xml:space="preserve">law, they have found a way </w:t>
      </w:r>
      <w:r w:rsidR="00E35AA6" w:rsidRPr="004D1AC3">
        <w:rPr>
          <w:szCs w:val="24"/>
        </w:rPr>
        <w:t>back on</w:t>
      </w:r>
      <w:r w:rsidR="004315A1" w:rsidRPr="004D1AC3">
        <w:rPr>
          <w:szCs w:val="24"/>
        </w:rPr>
        <w:t xml:space="preserve"> board</w:t>
      </w:r>
      <w:r w:rsidR="00D3657E" w:rsidRPr="004D1AC3">
        <w:rPr>
          <w:szCs w:val="24"/>
        </w:rPr>
        <w:t xml:space="preserve">. </w:t>
      </w:r>
      <w:r w:rsidR="00C41138">
        <w:rPr>
          <w:szCs w:val="24"/>
        </w:rPr>
        <w:t xml:space="preserve">Second, the judges </w:t>
      </w:r>
      <w:r w:rsidR="00C41138" w:rsidRPr="0008650D">
        <w:rPr>
          <w:b/>
          <w:bCs/>
          <w:szCs w:val="24"/>
        </w:rPr>
        <w:t>will</w:t>
      </w:r>
      <w:r w:rsidR="00C41138">
        <w:rPr>
          <w:szCs w:val="24"/>
        </w:rPr>
        <w:t xml:space="preserve"> </w:t>
      </w:r>
      <w:r w:rsidR="0046779F">
        <w:rPr>
          <w:szCs w:val="24"/>
        </w:rPr>
        <w:t>answer</w:t>
      </w:r>
      <w:r w:rsidR="00C41138">
        <w:rPr>
          <w:szCs w:val="24"/>
        </w:rPr>
        <w:t xml:space="preserve"> all of the questions, </w:t>
      </w:r>
      <w:r w:rsidR="0046779F">
        <w:rPr>
          <w:szCs w:val="24"/>
        </w:rPr>
        <w:t>one way or another</w:t>
      </w:r>
      <w:r w:rsidR="00540048">
        <w:rPr>
          <w:szCs w:val="24"/>
        </w:rPr>
        <w:t xml:space="preserve"> </w:t>
      </w:r>
      <w:r w:rsidR="00CA4288" w:rsidRPr="00366C05">
        <w:rPr>
          <w:szCs w:val="24"/>
        </w:rPr>
        <w:t>—</w:t>
      </w:r>
      <w:r w:rsidR="00540048">
        <w:rPr>
          <w:szCs w:val="24"/>
        </w:rPr>
        <w:t xml:space="preserve"> either</w:t>
      </w:r>
      <w:r w:rsidR="00B32EDD">
        <w:rPr>
          <w:szCs w:val="24"/>
        </w:rPr>
        <w:t xml:space="preserve"> expressly</w:t>
      </w:r>
      <w:r w:rsidR="008C012D">
        <w:rPr>
          <w:szCs w:val="24"/>
        </w:rPr>
        <w:t>,</w:t>
      </w:r>
      <w:r w:rsidR="00B32EDD">
        <w:rPr>
          <w:szCs w:val="24"/>
        </w:rPr>
        <w:t xml:space="preserve"> or </w:t>
      </w:r>
      <w:r w:rsidR="008C012D">
        <w:rPr>
          <w:szCs w:val="24"/>
        </w:rPr>
        <w:t xml:space="preserve">by forgetting </w:t>
      </w:r>
      <w:r w:rsidR="00B32EDD">
        <w:rPr>
          <w:szCs w:val="24"/>
        </w:rPr>
        <w:t>to ask</w:t>
      </w:r>
      <w:r w:rsidR="008512E9">
        <w:rPr>
          <w:szCs w:val="24"/>
        </w:rPr>
        <w:t xml:space="preserve"> (</w:t>
      </w:r>
      <w:r w:rsidR="00B32EDD">
        <w:rPr>
          <w:szCs w:val="24"/>
        </w:rPr>
        <w:t xml:space="preserve">as </w:t>
      </w:r>
      <w:r w:rsidR="00AC2F80">
        <w:rPr>
          <w:szCs w:val="24"/>
        </w:rPr>
        <w:t>seems to</w:t>
      </w:r>
      <w:r w:rsidR="008512E9">
        <w:rPr>
          <w:szCs w:val="24"/>
        </w:rPr>
        <w:t xml:space="preserve"> </w:t>
      </w:r>
      <w:r w:rsidR="00B32EDD">
        <w:rPr>
          <w:szCs w:val="24"/>
        </w:rPr>
        <w:t>have happened</w:t>
      </w:r>
      <w:r w:rsidR="008C012D">
        <w:rPr>
          <w:szCs w:val="24"/>
        </w:rPr>
        <w:t xml:space="preserve"> in </w:t>
      </w:r>
      <w:r w:rsidR="00262ECA">
        <w:rPr>
          <w:i/>
          <w:iCs/>
        </w:rPr>
        <w:t>C</w:t>
      </w:r>
      <w:r w:rsidR="00262ECA" w:rsidRPr="007A4305">
        <w:rPr>
          <w:i/>
          <w:iCs/>
        </w:rPr>
        <w:t>asinos du Québec</w:t>
      </w:r>
      <w:r w:rsidR="008C012D">
        <w:rPr>
          <w:szCs w:val="24"/>
        </w:rPr>
        <w:t>.</w:t>
      </w:r>
      <w:r w:rsidR="00DA0E3F">
        <w:rPr>
          <w:rStyle w:val="FootnoteReference"/>
          <w:szCs w:val="24"/>
        </w:rPr>
        <w:footnoteReference w:id="25"/>
      </w:r>
      <w:r w:rsidR="008512E9">
        <w:rPr>
          <w:szCs w:val="24"/>
        </w:rPr>
        <w:t>)</w:t>
      </w:r>
    </w:p>
    <w:p w14:paraId="481787C5" w14:textId="711E1706" w:rsidR="000730C6" w:rsidRDefault="000730C6" w:rsidP="000730C6">
      <w:pPr>
        <w:spacing w:line="240" w:lineRule="auto"/>
        <w:rPr>
          <w:szCs w:val="24"/>
        </w:rPr>
      </w:pPr>
    </w:p>
    <w:p w14:paraId="507078AE" w14:textId="0977B607" w:rsidR="00D342FE" w:rsidRPr="004D1AC3" w:rsidRDefault="00540048" w:rsidP="000730C6">
      <w:pPr>
        <w:spacing w:line="240" w:lineRule="auto"/>
        <w:rPr>
          <w:szCs w:val="24"/>
        </w:rPr>
      </w:pPr>
      <w:r>
        <w:rPr>
          <w:szCs w:val="24"/>
        </w:rPr>
        <w:t>But</w:t>
      </w:r>
      <w:r w:rsidR="00966254">
        <w:rPr>
          <w:szCs w:val="24"/>
        </w:rPr>
        <w:t>,</w:t>
      </w:r>
      <w:r>
        <w:rPr>
          <w:szCs w:val="24"/>
        </w:rPr>
        <w:t xml:space="preserve"> </w:t>
      </w:r>
      <w:r w:rsidR="00CA4288">
        <w:rPr>
          <w:szCs w:val="24"/>
        </w:rPr>
        <w:t>o</w:t>
      </w:r>
      <w:r w:rsidR="00D3657E" w:rsidRPr="004D1AC3">
        <w:rPr>
          <w:szCs w:val="24"/>
        </w:rPr>
        <w:t xml:space="preserve">nce </w:t>
      </w:r>
      <w:r w:rsidR="00B04255">
        <w:rPr>
          <w:szCs w:val="24"/>
        </w:rPr>
        <w:t xml:space="preserve">we and </w:t>
      </w:r>
      <w:r w:rsidR="00D3657E" w:rsidRPr="004D1AC3">
        <w:rPr>
          <w:szCs w:val="24"/>
        </w:rPr>
        <w:t>they see what it is th</w:t>
      </w:r>
      <w:r w:rsidR="00AF450C" w:rsidRPr="004D1AC3">
        <w:rPr>
          <w:szCs w:val="24"/>
        </w:rPr>
        <w:t>e</w:t>
      </w:r>
      <w:r w:rsidR="00D3657E" w:rsidRPr="004D1AC3">
        <w:rPr>
          <w:szCs w:val="24"/>
        </w:rPr>
        <w:t>y have signed up for</w:t>
      </w:r>
      <w:r w:rsidR="006E199A">
        <w:rPr>
          <w:szCs w:val="24"/>
        </w:rPr>
        <w:t>,</w:t>
      </w:r>
      <w:r w:rsidR="00E02F24" w:rsidRPr="004D1AC3">
        <w:rPr>
          <w:szCs w:val="24"/>
        </w:rPr>
        <w:t xml:space="preserve"> will they continue with their quest</w:t>
      </w:r>
      <w:r w:rsidR="00AF450C" w:rsidRPr="004D1AC3">
        <w:rPr>
          <w:szCs w:val="24"/>
        </w:rPr>
        <w:t>?</w:t>
      </w:r>
      <w:r w:rsidR="00E02F24" w:rsidRPr="004D1AC3">
        <w:rPr>
          <w:szCs w:val="24"/>
        </w:rPr>
        <w:t xml:space="preserve"> We </w:t>
      </w:r>
      <w:r w:rsidR="00AF450C" w:rsidRPr="004D1AC3">
        <w:rPr>
          <w:szCs w:val="24"/>
        </w:rPr>
        <w:t>c</w:t>
      </w:r>
      <w:r w:rsidR="00E02F24" w:rsidRPr="004D1AC3">
        <w:rPr>
          <w:szCs w:val="24"/>
        </w:rPr>
        <w:t>an see</w:t>
      </w:r>
      <w:r w:rsidR="001120E3">
        <w:rPr>
          <w:szCs w:val="24"/>
        </w:rPr>
        <w:t xml:space="preserve">, as noted above, </w:t>
      </w:r>
      <w:r w:rsidR="00E02F24" w:rsidRPr="004D1AC3">
        <w:rPr>
          <w:szCs w:val="24"/>
        </w:rPr>
        <w:t>o</w:t>
      </w:r>
      <w:r w:rsidR="00AF450C" w:rsidRPr="004D1AC3">
        <w:rPr>
          <w:szCs w:val="24"/>
        </w:rPr>
        <w:t>ne possible</w:t>
      </w:r>
      <w:r w:rsidR="00E02F24" w:rsidRPr="004D1AC3">
        <w:rPr>
          <w:szCs w:val="24"/>
        </w:rPr>
        <w:t xml:space="preserve"> future in </w:t>
      </w:r>
      <w:r w:rsidR="00360A30" w:rsidRPr="00360A30">
        <w:rPr>
          <w:i/>
          <w:iCs/>
          <w:szCs w:val="24"/>
        </w:rPr>
        <w:t>Ontario (AG) v Fraser</w:t>
      </w:r>
      <w:bookmarkStart w:id="11" w:name="_Ref178265437"/>
      <w:r w:rsidR="004716C8" w:rsidRPr="00360A30">
        <w:rPr>
          <w:rStyle w:val="FootnoteReference"/>
          <w:szCs w:val="24"/>
        </w:rPr>
        <w:footnoteReference w:id="26"/>
      </w:r>
      <w:bookmarkEnd w:id="11"/>
      <w:r w:rsidR="00E02F24" w:rsidRPr="004D1AC3">
        <w:rPr>
          <w:szCs w:val="24"/>
        </w:rPr>
        <w:t xml:space="preserve"> and here in </w:t>
      </w:r>
      <w:r w:rsidR="00262ECA">
        <w:rPr>
          <w:i/>
          <w:iCs/>
        </w:rPr>
        <w:t>C</w:t>
      </w:r>
      <w:r w:rsidR="00262ECA" w:rsidRPr="007A4305">
        <w:rPr>
          <w:i/>
          <w:iCs/>
        </w:rPr>
        <w:t>asinos du Québec</w:t>
      </w:r>
      <w:r w:rsidR="003208C0" w:rsidRPr="004D1AC3">
        <w:rPr>
          <w:szCs w:val="24"/>
        </w:rPr>
        <w:t xml:space="preserve"> </w:t>
      </w:r>
      <w:r w:rsidR="006A2F13" w:rsidRPr="00366C05">
        <w:rPr>
          <w:szCs w:val="24"/>
        </w:rPr>
        <w:t>—</w:t>
      </w:r>
      <w:r w:rsidR="003208C0" w:rsidRPr="004D1AC3">
        <w:rPr>
          <w:szCs w:val="24"/>
        </w:rPr>
        <w:t xml:space="preserve"> the parallel universe will be a faded, </w:t>
      </w:r>
      <w:r w:rsidR="001A6148" w:rsidRPr="004D1AC3">
        <w:rPr>
          <w:szCs w:val="24"/>
        </w:rPr>
        <w:t>partial, weak, mealy</w:t>
      </w:r>
      <w:r w:rsidR="00EC3CC7">
        <w:rPr>
          <w:szCs w:val="24"/>
        </w:rPr>
        <w:t>-</w:t>
      </w:r>
      <w:r w:rsidR="001A6148" w:rsidRPr="004D1AC3">
        <w:rPr>
          <w:szCs w:val="24"/>
        </w:rPr>
        <w:t>mouth</w:t>
      </w:r>
      <w:r w:rsidR="00DA74AB">
        <w:rPr>
          <w:szCs w:val="24"/>
        </w:rPr>
        <w:t>ed</w:t>
      </w:r>
      <w:r w:rsidR="001A6148" w:rsidRPr="004D1AC3">
        <w:rPr>
          <w:szCs w:val="24"/>
        </w:rPr>
        <w:t xml:space="preserve"> version of “the real thing”</w:t>
      </w:r>
      <w:r w:rsidR="00784BFC" w:rsidRPr="004D1AC3">
        <w:rPr>
          <w:szCs w:val="24"/>
        </w:rPr>
        <w:t xml:space="preserve"> </w:t>
      </w:r>
      <w:r w:rsidR="006A2F13" w:rsidRPr="00366C05">
        <w:rPr>
          <w:szCs w:val="24"/>
        </w:rPr>
        <w:t>—</w:t>
      </w:r>
      <w:r w:rsidR="00784BFC" w:rsidRPr="004D1AC3">
        <w:rPr>
          <w:szCs w:val="24"/>
        </w:rPr>
        <w:t xml:space="preserve"> </w:t>
      </w:r>
      <w:r w:rsidR="006A2F13" w:rsidRPr="004D1AC3">
        <w:rPr>
          <w:szCs w:val="24"/>
        </w:rPr>
        <w:t>i.e.</w:t>
      </w:r>
      <w:r w:rsidR="00784BFC" w:rsidRPr="004D1AC3">
        <w:rPr>
          <w:szCs w:val="24"/>
        </w:rPr>
        <w:t xml:space="preserve"> the statute. </w:t>
      </w:r>
      <w:r w:rsidR="00D81564" w:rsidRPr="004D1AC3">
        <w:rPr>
          <w:szCs w:val="24"/>
        </w:rPr>
        <w:t xml:space="preserve">While they insist, as always, that they are </w:t>
      </w:r>
      <w:r w:rsidR="008D3979" w:rsidRPr="004D1AC3">
        <w:rPr>
          <w:szCs w:val="24"/>
        </w:rPr>
        <w:t>not</w:t>
      </w:r>
      <w:r w:rsidR="00D81564" w:rsidRPr="004D1AC3">
        <w:rPr>
          <w:szCs w:val="24"/>
        </w:rPr>
        <w:t xml:space="preserve"> </w:t>
      </w:r>
      <w:r w:rsidR="008D3979" w:rsidRPr="004D1AC3">
        <w:rPr>
          <w:szCs w:val="24"/>
        </w:rPr>
        <w:t>constitutionally</w:t>
      </w:r>
      <w:r w:rsidR="00D81564" w:rsidRPr="004D1AC3">
        <w:rPr>
          <w:szCs w:val="24"/>
        </w:rPr>
        <w:t xml:space="preserve"> </w:t>
      </w:r>
      <w:r w:rsidR="008D3979" w:rsidRPr="004D1AC3">
        <w:rPr>
          <w:szCs w:val="24"/>
        </w:rPr>
        <w:lastRenderedPageBreak/>
        <w:t>privileging</w:t>
      </w:r>
      <w:r w:rsidR="00D81564" w:rsidRPr="004D1AC3">
        <w:rPr>
          <w:szCs w:val="24"/>
        </w:rPr>
        <w:t xml:space="preserve"> an</w:t>
      </w:r>
      <w:r w:rsidR="008D3979" w:rsidRPr="004D1AC3">
        <w:rPr>
          <w:szCs w:val="24"/>
        </w:rPr>
        <w:t>y</w:t>
      </w:r>
      <w:r w:rsidR="00D81564" w:rsidRPr="004D1AC3">
        <w:rPr>
          <w:szCs w:val="24"/>
        </w:rPr>
        <w:t xml:space="preserve"> particular statutory regime</w:t>
      </w:r>
      <w:r w:rsidR="00455081">
        <w:rPr>
          <w:szCs w:val="24"/>
        </w:rPr>
        <w:t>,</w:t>
      </w:r>
      <w:bookmarkStart w:id="12" w:name="_Ref178518964"/>
      <w:r w:rsidR="00C521CE">
        <w:rPr>
          <w:rStyle w:val="FootnoteReference"/>
          <w:szCs w:val="24"/>
        </w:rPr>
        <w:footnoteReference w:id="27"/>
      </w:r>
      <w:bookmarkEnd w:id="12"/>
      <w:r w:rsidR="00D81564" w:rsidRPr="004D1AC3">
        <w:rPr>
          <w:szCs w:val="24"/>
        </w:rPr>
        <w:t xml:space="preserve"> they will do the opposite and cut and paste</w:t>
      </w:r>
      <w:r w:rsidR="00050500" w:rsidRPr="004D1AC3">
        <w:rPr>
          <w:szCs w:val="24"/>
        </w:rPr>
        <w:t xml:space="preserve">, in </w:t>
      </w:r>
      <w:r w:rsidR="006C392C">
        <w:rPr>
          <w:szCs w:val="24"/>
        </w:rPr>
        <w:t xml:space="preserve">a </w:t>
      </w:r>
      <w:r w:rsidR="00050500" w:rsidRPr="004D1AC3">
        <w:rPr>
          <w:szCs w:val="24"/>
        </w:rPr>
        <w:t>weaker form,</w:t>
      </w:r>
      <w:r w:rsidR="00D81564" w:rsidRPr="004D1AC3">
        <w:rPr>
          <w:szCs w:val="24"/>
        </w:rPr>
        <w:t xml:space="preserve"> the </w:t>
      </w:r>
      <w:r w:rsidR="008D3979" w:rsidRPr="004D1AC3">
        <w:rPr>
          <w:szCs w:val="24"/>
        </w:rPr>
        <w:t>Wagner Act Model.</w:t>
      </w:r>
      <w:r w:rsidR="001F7245" w:rsidRPr="004D1AC3">
        <w:rPr>
          <w:szCs w:val="24"/>
        </w:rPr>
        <w:t xml:space="preserve"> </w:t>
      </w:r>
      <w:r w:rsidR="00784BFC" w:rsidRPr="004D1AC3">
        <w:rPr>
          <w:szCs w:val="24"/>
        </w:rPr>
        <w:t>There will not be a real duty to bargain</w:t>
      </w:r>
      <w:r w:rsidR="00CC014F">
        <w:rPr>
          <w:szCs w:val="24"/>
        </w:rPr>
        <w:t xml:space="preserve"> - i</w:t>
      </w:r>
      <w:r w:rsidR="00784BFC" w:rsidRPr="004D1AC3">
        <w:rPr>
          <w:szCs w:val="24"/>
        </w:rPr>
        <w:t xml:space="preserve">n </w:t>
      </w:r>
      <w:r w:rsidR="00784BFC" w:rsidRPr="004D1AC3">
        <w:rPr>
          <w:i/>
          <w:iCs/>
          <w:szCs w:val="24"/>
        </w:rPr>
        <w:t>Fraser</w:t>
      </w:r>
      <w:r w:rsidR="001A3785">
        <w:rPr>
          <w:i/>
          <w:iCs/>
          <w:szCs w:val="24"/>
        </w:rPr>
        <w:t>,</w:t>
      </w:r>
      <w:r w:rsidR="00331666" w:rsidRPr="00B045B0">
        <w:rPr>
          <w:rStyle w:val="FootnoteReference"/>
          <w:szCs w:val="24"/>
        </w:rPr>
        <w:footnoteReference w:id="28"/>
      </w:r>
      <w:r w:rsidR="00784BFC" w:rsidRPr="004D1AC3">
        <w:rPr>
          <w:szCs w:val="24"/>
        </w:rPr>
        <w:t xml:space="preserve"> the SCC saw that it had in </w:t>
      </w:r>
      <w:r w:rsidR="007B5E7B" w:rsidRPr="007B5E7B">
        <w:rPr>
          <w:i/>
          <w:iCs/>
          <w:szCs w:val="24"/>
        </w:rPr>
        <w:t>Health Services and Support - Facilities Subsector Bargaining Assn v British Columbia</w:t>
      </w:r>
      <w:bookmarkStart w:id="13" w:name="_Ref178273583"/>
      <w:r w:rsidR="007B5E7B" w:rsidRPr="007B5E7B">
        <w:rPr>
          <w:rStyle w:val="FootnoteReference"/>
          <w:szCs w:val="24"/>
        </w:rPr>
        <w:footnoteReference w:id="29"/>
      </w:r>
      <w:bookmarkEnd w:id="13"/>
      <w:r w:rsidR="007B5E7B" w:rsidRPr="004D1AC3">
        <w:rPr>
          <w:szCs w:val="24"/>
        </w:rPr>
        <w:t xml:space="preserve"> </w:t>
      </w:r>
      <w:r w:rsidR="00784BFC" w:rsidRPr="004D1AC3">
        <w:rPr>
          <w:szCs w:val="24"/>
        </w:rPr>
        <w:t>bitten off more tha</w:t>
      </w:r>
      <w:r w:rsidR="006C392C">
        <w:rPr>
          <w:szCs w:val="24"/>
        </w:rPr>
        <w:t>n</w:t>
      </w:r>
      <w:r w:rsidR="00784BFC" w:rsidRPr="004D1AC3">
        <w:rPr>
          <w:szCs w:val="24"/>
        </w:rPr>
        <w:t xml:space="preserve"> it </w:t>
      </w:r>
      <w:proofErr w:type="gramStart"/>
      <w:r w:rsidR="00784BFC" w:rsidRPr="004D1AC3">
        <w:rPr>
          <w:szCs w:val="24"/>
        </w:rPr>
        <w:t>knew</w:t>
      </w:r>
      <w:r w:rsidR="00096D8A" w:rsidRPr="004D1AC3">
        <w:rPr>
          <w:szCs w:val="24"/>
        </w:rPr>
        <w:t>,</w:t>
      </w:r>
      <w:r w:rsidR="00784BFC" w:rsidRPr="004D1AC3">
        <w:rPr>
          <w:szCs w:val="24"/>
        </w:rPr>
        <w:t xml:space="preserve"> and</w:t>
      </w:r>
      <w:proofErr w:type="gramEnd"/>
      <w:r w:rsidR="00784BFC" w:rsidRPr="004D1AC3">
        <w:rPr>
          <w:szCs w:val="24"/>
        </w:rPr>
        <w:t xml:space="preserve"> could chew</w:t>
      </w:r>
      <w:r w:rsidR="00096D8A" w:rsidRPr="004D1AC3">
        <w:rPr>
          <w:szCs w:val="24"/>
        </w:rPr>
        <w:t xml:space="preserve">. Ditto in </w:t>
      </w:r>
      <w:r w:rsidR="00262ECA">
        <w:rPr>
          <w:i/>
          <w:iCs/>
        </w:rPr>
        <w:t>C</w:t>
      </w:r>
      <w:r w:rsidR="00262ECA" w:rsidRPr="007A4305">
        <w:rPr>
          <w:i/>
          <w:iCs/>
        </w:rPr>
        <w:t>asinos du Québec</w:t>
      </w:r>
      <w:r w:rsidR="001F7245" w:rsidRPr="004D1AC3">
        <w:rPr>
          <w:szCs w:val="24"/>
        </w:rPr>
        <w:t xml:space="preserve"> for the managers. This is a </w:t>
      </w:r>
      <w:r w:rsidR="00D342FE" w:rsidRPr="004D1AC3">
        <w:rPr>
          <w:szCs w:val="24"/>
        </w:rPr>
        <w:t>constitutional</w:t>
      </w:r>
      <w:r w:rsidR="001F7245" w:rsidRPr="004D1AC3">
        <w:rPr>
          <w:szCs w:val="24"/>
        </w:rPr>
        <w:t xml:space="preserve"> Wagner Act mo</w:t>
      </w:r>
      <w:r w:rsidR="00E5089B" w:rsidRPr="004D1AC3">
        <w:rPr>
          <w:szCs w:val="24"/>
        </w:rPr>
        <w:t xml:space="preserve">del </w:t>
      </w:r>
      <w:r w:rsidR="008A7E81" w:rsidRPr="004D1AC3">
        <w:rPr>
          <w:szCs w:val="24"/>
        </w:rPr>
        <w:t>manqu</w:t>
      </w:r>
      <w:r w:rsidR="008A7E81">
        <w:rPr>
          <w:szCs w:val="24"/>
        </w:rPr>
        <w:t>é</w:t>
      </w:r>
      <w:r w:rsidR="00E5089B" w:rsidRPr="004D1AC3">
        <w:rPr>
          <w:szCs w:val="24"/>
        </w:rPr>
        <w:t>.</w:t>
      </w:r>
      <w:r w:rsidR="00096D8A" w:rsidRPr="004D1AC3">
        <w:rPr>
          <w:szCs w:val="24"/>
        </w:rPr>
        <w:t xml:space="preserve"> This is</w:t>
      </w:r>
      <w:r w:rsidR="008512E9">
        <w:rPr>
          <w:szCs w:val="24"/>
        </w:rPr>
        <w:t xml:space="preserve"> a</w:t>
      </w:r>
      <w:r w:rsidR="00096D8A" w:rsidRPr="004D1AC3">
        <w:rPr>
          <w:szCs w:val="24"/>
        </w:rPr>
        <w:t xml:space="preserve"> </w:t>
      </w:r>
      <w:r w:rsidR="00F57DBD">
        <w:rPr>
          <w:szCs w:val="24"/>
        </w:rPr>
        <w:t xml:space="preserve">basic </w:t>
      </w:r>
      <w:r w:rsidR="00096D8A" w:rsidRPr="004D1AC3">
        <w:rPr>
          <w:szCs w:val="24"/>
        </w:rPr>
        <w:t xml:space="preserve">point of </w:t>
      </w:r>
      <w:r w:rsidR="00F57DBD">
        <w:rPr>
          <w:szCs w:val="24"/>
        </w:rPr>
        <w:t xml:space="preserve">both </w:t>
      </w:r>
      <w:r w:rsidR="00096D8A" w:rsidRPr="004D1AC3">
        <w:rPr>
          <w:szCs w:val="24"/>
        </w:rPr>
        <w:t xml:space="preserve">Hastie and </w:t>
      </w:r>
      <w:r w:rsidR="00F57DBD">
        <w:rPr>
          <w:szCs w:val="24"/>
        </w:rPr>
        <w:t>Nicol</w:t>
      </w:r>
      <w:r w:rsidR="000D6E99">
        <w:rPr>
          <w:szCs w:val="24"/>
        </w:rPr>
        <w:t>’</w:t>
      </w:r>
      <w:r w:rsidR="00096D8A" w:rsidRPr="004D1AC3">
        <w:rPr>
          <w:szCs w:val="24"/>
        </w:rPr>
        <w:t>s</w:t>
      </w:r>
      <w:r w:rsidR="003E4E96">
        <w:rPr>
          <w:rStyle w:val="FootnoteReference"/>
          <w:szCs w:val="24"/>
        </w:rPr>
        <w:footnoteReference w:id="30"/>
      </w:r>
      <w:r w:rsidR="00096D8A" w:rsidRPr="004D1AC3">
        <w:rPr>
          <w:szCs w:val="24"/>
        </w:rPr>
        <w:t xml:space="preserve"> </w:t>
      </w:r>
      <w:r w:rsidR="00F57DBD">
        <w:rPr>
          <w:szCs w:val="24"/>
        </w:rPr>
        <w:t xml:space="preserve">and Tucker’s </w:t>
      </w:r>
      <w:r w:rsidR="00096D8A" w:rsidRPr="004D1AC3">
        <w:rPr>
          <w:szCs w:val="24"/>
        </w:rPr>
        <w:t>critique</w:t>
      </w:r>
      <w:r w:rsidR="00F57DBD">
        <w:rPr>
          <w:szCs w:val="24"/>
        </w:rPr>
        <w:t>s</w:t>
      </w:r>
      <w:r w:rsidR="004A3C2A">
        <w:rPr>
          <w:rStyle w:val="FootnoteReference"/>
          <w:szCs w:val="24"/>
        </w:rPr>
        <w:footnoteReference w:id="31"/>
      </w:r>
      <w:r w:rsidR="00096D8A" w:rsidRPr="004D1AC3">
        <w:rPr>
          <w:szCs w:val="24"/>
        </w:rPr>
        <w:t xml:space="preserve"> of </w:t>
      </w:r>
      <w:r w:rsidR="00262ECA">
        <w:rPr>
          <w:i/>
          <w:iCs/>
        </w:rPr>
        <w:t>C</w:t>
      </w:r>
      <w:r w:rsidR="00262ECA" w:rsidRPr="007A4305">
        <w:rPr>
          <w:i/>
          <w:iCs/>
        </w:rPr>
        <w:t>asinos du Québec</w:t>
      </w:r>
      <w:r w:rsidR="00096D8A" w:rsidRPr="004D1AC3">
        <w:rPr>
          <w:szCs w:val="24"/>
        </w:rPr>
        <w:t xml:space="preserve">. I </w:t>
      </w:r>
      <w:r w:rsidR="00D81564" w:rsidRPr="004D1AC3">
        <w:rPr>
          <w:szCs w:val="24"/>
        </w:rPr>
        <w:t>believe th</w:t>
      </w:r>
      <w:r w:rsidR="00F57DBD">
        <w:rPr>
          <w:szCs w:val="24"/>
        </w:rPr>
        <w:t>eir</w:t>
      </w:r>
      <w:r w:rsidR="00D81564" w:rsidRPr="004D1AC3">
        <w:rPr>
          <w:szCs w:val="24"/>
        </w:rPr>
        <w:t xml:space="preserve"> critique</w:t>
      </w:r>
      <w:r w:rsidR="00F57DBD">
        <w:rPr>
          <w:szCs w:val="24"/>
        </w:rPr>
        <w:t>s</w:t>
      </w:r>
      <w:r w:rsidR="00D81564" w:rsidRPr="004D1AC3">
        <w:rPr>
          <w:szCs w:val="24"/>
        </w:rPr>
        <w:t xml:space="preserve"> </w:t>
      </w:r>
      <w:r w:rsidR="00F57DBD">
        <w:rPr>
          <w:szCs w:val="24"/>
        </w:rPr>
        <w:t xml:space="preserve">are </w:t>
      </w:r>
      <w:r w:rsidR="00AF3DE1" w:rsidRPr="004D1AC3">
        <w:rPr>
          <w:szCs w:val="24"/>
        </w:rPr>
        <w:t>entirely</w:t>
      </w:r>
      <w:r w:rsidR="00D81564" w:rsidRPr="004D1AC3">
        <w:rPr>
          <w:szCs w:val="24"/>
        </w:rPr>
        <w:t xml:space="preserve"> accurate and justified. </w:t>
      </w:r>
    </w:p>
    <w:p w14:paraId="50A3BE0F" w14:textId="2A664355" w:rsidR="000730C6" w:rsidRDefault="000730C6" w:rsidP="000730C6">
      <w:pPr>
        <w:spacing w:line="240" w:lineRule="auto"/>
        <w:rPr>
          <w:szCs w:val="24"/>
        </w:rPr>
      </w:pPr>
    </w:p>
    <w:p w14:paraId="486C7583" w14:textId="7C4EFE7B" w:rsidR="00A07297" w:rsidRPr="000278BB" w:rsidRDefault="00A07297" w:rsidP="000730C6">
      <w:pPr>
        <w:spacing w:line="240" w:lineRule="auto"/>
        <w:rPr>
          <w:b/>
          <w:bCs/>
          <w:szCs w:val="24"/>
        </w:rPr>
      </w:pPr>
      <w:proofErr w:type="gramStart"/>
      <w:r w:rsidRPr="000278BB">
        <w:rPr>
          <w:b/>
          <w:bCs/>
          <w:szCs w:val="24"/>
        </w:rPr>
        <w:t>IV  There</w:t>
      </w:r>
      <w:proofErr w:type="gramEnd"/>
      <w:r w:rsidRPr="000278BB">
        <w:rPr>
          <w:b/>
          <w:bCs/>
          <w:szCs w:val="24"/>
        </w:rPr>
        <w:t xml:space="preserve"> is more</w:t>
      </w:r>
    </w:p>
    <w:p w14:paraId="663140E5" w14:textId="5455F780" w:rsidR="007E7547" w:rsidRPr="004D1AC3" w:rsidRDefault="00D81564" w:rsidP="000730C6">
      <w:pPr>
        <w:spacing w:line="240" w:lineRule="auto"/>
        <w:rPr>
          <w:szCs w:val="24"/>
        </w:rPr>
      </w:pPr>
      <w:r w:rsidRPr="004D1AC3">
        <w:rPr>
          <w:szCs w:val="24"/>
        </w:rPr>
        <w:t>But here I a</w:t>
      </w:r>
      <w:r w:rsidR="00D16640" w:rsidRPr="004D1AC3">
        <w:rPr>
          <w:szCs w:val="24"/>
        </w:rPr>
        <w:t>m</w:t>
      </w:r>
      <w:r w:rsidRPr="004D1AC3">
        <w:rPr>
          <w:szCs w:val="24"/>
        </w:rPr>
        <w:t xml:space="preserve"> trying to go further </w:t>
      </w:r>
      <w:r w:rsidR="006A2F13" w:rsidRPr="00366C05">
        <w:rPr>
          <w:szCs w:val="24"/>
        </w:rPr>
        <w:t>—</w:t>
      </w:r>
      <w:r w:rsidRPr="004D1AC3">
        <w:rPr>
          <w:szCs w:val="24"/>
        </w:rPr>
        <w:t xml:space="preserve"> and point out the she</w:t>
      </w:r>
      <w:r w:rsidR="006C392C">
        <w:rPr>
          <w:szCs w:val="24"/>
        </w:rPr>
        <w:t>e</w:t>
      </w:r>
      <w:r w:rsidRPr="004D1AC3">
        <w:rPr>
          <w:szCs w:val="24"/>
        </w:rPr>
        <w:t xml:space="preserve">r </w:t>
      </w:r>
      <w:r w:rsidR="00E5089B" w:rsidRPr="004D1AC3">
        <w:rPr>
          <w:szCs w:val="24"/>
        </w:rPr>
        <w:t xml:space="preserve">scale and thus </w:t>
      </w:r>
      <w:r w:rsidR="00F83EB9" w:rsidRPr="004D1AC3">
        <w:rPr>
          <w:szCs w:val="24"/>
        </w:rPr>
        <w:t xml:space="preserve">unlikelihood </w:t>
      </w:r>
      <w:r w:rsidRPr="004D1AC3">
        <w:rPr>
          <w:szCs w:val="24"/>
        </w:rPr>
        <w:t>of any such judicial effort</w:t>
      </w:r>
      <w:r w:rsidR="000317BD">
        <w:rPr>
          <w:szCs w:val="24"/>
        </w:rPr>
        <w:t>,</w:t>
      </w:r>
      <w:r w:rsidR="00D16640" w:rsidRPr="004D1AC3">
        <w:rPr>
          <w:szCs w:val="24"/>
        </w:rPr>
        <w:t xml:space="preserve"> </w:t>
      </w:r>
      <w:r w:rsidR="00022871">
        <w:rPr>
          <w:szCs w:val="24"/>
        </w:rPr>
        <w:t xml:space="preserve">because of </w:t>
      </w:r>
      <w:r w:rsidR="00D342FE" w:rsidRPr="004D1AC3">
        <w:rPr>
          <w:szCs w:val="24"/>
        </w:rPr>
        <w:t>not</w:t>
      </w:r>
      <w:r w:rsidR="002A2F79" w:rsidRPr="004D1AC3">
        <w:rPr>
          <w:szCs w:val="24"/>
        </w:rPr>
        <w:t xml:space="preserve"> only</w:t>
      </w:r>
      <w:r w:rsidR="00CF37AE">
        <w:rPr>
          <w:szCs w:val="24"/>
        </w:rPr>
        <w:t xml:space="preserve"> its</w:t>
      </w:r>
      <w:r w:rsidR="002A2F79" w:rsidRPr="004D1AC3">
        <w:rPr>
          <w:szCs w:val="24"/>
        </w:rPr>
        <w:t xml:space="preserve"> folly a</w:t>
      </w:r>
      <w:r w:rsidR="00BE581B" w:rsidRPr="004D1AC3">
        <w:rPr>
          <w:szCs w:val="24"/>
        </w:rPr>
        <w:t xml:space="preserve">nd </w:t>
      </w:r>
      <w:r w:rsidR="00FC544F" w:rsidRPr="004D1AC3">
        <w:rPr>
          <w:szCs w:val="24"/>
        </w:rPr>
        <w:t>improbability,</w:t>
      </w:r>
      <w:r w:rsidR="00BE581B" w:rsidRPr="004D1AC3">
        <w:rPr>
          <w:szCs w:val="24"/>
        </w:rPr>
        <w:t xml:space="preserve"> but normative perversity</w:t>
      </w:r>
      <w:r w:rsidR="001D7E35">
        <w:rPr>
          <w:szCs w:val="24"/>
        </w:rPr>
        <w:t xml:space="preserve"> </w:t>
      </w:r>
      <w:r w:rsidR="00C50038">
        <w:rPr>
          <w:szCs w:val="24"/>
        </w:rPr>
        <w:t xml:space="preserve">and </w:t>
      </w:r>
      <w:r w:rsidR="00C76E85" w:rsidRPr="004D1AC3">
        <w:rPr>
          <w:szCs w:val="24"/>
        </w:rPr>
        <w:t>illegality</w:t>
      </w:r>
      <w:r w:rsidR="00C50038">
        <w:rPr>
          <w:szCs w:val="24"/>
        </w:rPr>
        <w:t xml:space="preserve"> </w:t>
      </w:r>
      <w:r w:rsidR="00C50038" w:rsidRPr="00366C05">
        <w:rPr>
          <w:szCs w:val="24"/>
        </w:rPr>
        <w:t>—</w:t>
      </w:r>
      <w:r w:rsidR="00C50038">
        <w:rPr>
          <w:szCs w:val="24"/>
        </w:rPr>
        <w:t xml:space="preserve"> </w:t>
      </w:r>
      <w:r w:rsidR="001D7E35">
        <w:rPr>
          <w:szCs w:val="24"/>
        </w:rPr>
        <w:t>that is, unconstitutionality.</w:t>
      </w:r>
      <w:r w:rsidR="00FC544F" w:rsidRPr="004D1AC3">
        <w:rPr>
          <w:szCs w:val="24"/>
        </w:rPr>
        <w:t xml:space="preserve"> </w:t>
      </w:r>
      <w:r w:rsidR="00D342FE" w:rsidRPr="004D1AC3">
        <w:rPr>
          <w:szCs w:val="24"/>
        </w:rPr>
        <w:t>To this end</w:t>
      </w:r>
      <w:r w:rsidR="006C392C">
        <w:rPr>
          <w:szCs w:val="24"/>
        </w:rPr>
        <w:t>,</w:t>
      </w:r>
      <w:r w:rsidR="00D342FE" w:rsidRPr="004D1AC3">
        <w:rPr>
          <w:szCs w:val="24"/>
        </w:rPr>
        <w:t xml:space="preserve"> I </w:t>
      </w:r>
      <w:r w:rsidR="002D53D4" w:rsidRPr="004D1AC3">
        <w:rPr>
          <w:szCs w:val="24"/>
        </w:rPr>
        <w:t xml:space="preserve">also wish to remind us </w:t>
      </w:r>
      <w:r w:rsidR="006C5F9F" w:rsidRPr="004D1AC3">
        <w:rPr>
          <w:szCs w:val="24"/>
        </w:rPr>
        <w:t xml:space="preserve">as </w:t>
      </w:r>
      <w:r w:rsidR="00D16640" w:rsidRPr="004D1AC3">
        <w:rPr>
          <w:szCs w:val="24"/>
        </w:rPr>
        <w:t xml:space="preserve">well </w:t>
      </w:r>
      <w:r w:rsidR="006C5F9F" w:rsidRPr="004D1AC3">
        <w:rPr>
          <w:szCs w:val="24"/>
        </w:rPr>
        <w:t>of</w:t>
      </w:r>
      <w:r w:rsidR="00D16640" w:rsidRPr="004D1AC3">
        <w:rPr>
          <w:szCs w:val="24"/>
        </w:rPr>
        <w:t xml:space="preserve"> a legitimate legal route which avoids the </w:t>
      </w:r>
      <w:r w:rsidR="006C38A0" w:rsidRPr="004D1AC3">
        <w:rPr>
          <w:szCs w:val="24"/>
        </w:rPr>
        <w:t>legal fiasco which is being visited upon us.</w:t>
      </w:r>
      <w:r w:rsidR="005F0E43" w:rsidRPr="004D1AC3">
        <w:rPr>
          <w:szCs w:val="24"/>
        </w:rPr>
        <w:t xml:space="preserve"> The basic point is that there cannot be, legally and </w:t>
      </w:r>
      <w:r w:rsidR="00945377" w:rsidRPr="004D1AC3">
        <w:rPr>
          <w:szCs w:val="24"/>
        </w:rPr>
        <w:t>constitutionally</w:t>
      </w:r>
      <w:r w:rsidR="005F0E43" w:rsidRPr="004D1AC3">
        <w:rPr>
          <w:szCs w:val="24"/>
        </w:rPr>
        <w:t xml:space="preserve">, </w:t>
      </w:r>
      <w:r w:rsidR="00945377" w:rsidRPr="004D1AC3">
        <w:rPr>
          <w:szCs w:val="24"/>
        </w:rPr>
        <w:t>parallel</w:t>
      </w:r>
      <w:r w:rsidR="005F0E43" w:rsidRPr="004D1AC3">
        <w:rPr>
          <w:szCs w:val="24"/>
        </w:rPr>
        <w:t xml:space="preserve"> </w:t>
      </w:r>
      <w:r w:rsidR="006C5F9F" w:rsidRPr="004D1AC3">
        <w:rPr>
          <w:szCs w:val="24"/>
        </w:rPr>
        <w:t xml:space="preserve">and unequal </w:t>
      </w:r>
      <w:r w:rsidR="005F0E43" w:rsidRPr="004D1AC3">
        <w:rPr>
          <w:szCs w:val="24"/>
        </w:rPr>
        <w:t>universes</w:t>
      </w:r>
      <w:r w:rsidR="000A60AE">
        <w:rPr>
          <w:szCs w:val="24"/>
        </w:rPr>
        <w:t xml:space="preserve"> of </w:t>
      </w:r>
      <w:r w:rsidR="004543EC">
        <w:rPr>
          <w:szCs w:val="24"/>
        </w:rPr>
        <w:t>legal “embodiment”</w:t>
      </w:r>
      <w:r w:rsidR="000A60AE">
        <w:rPr>
          <w:szCs w:val="24"/>
        </w:rPr>
        <w:t xml:space="preserve"> or </w:t>
      </w:r>
      <w:r w:rsidR="004543EC">
        <w:rPr>
          <w:szCs w:val="24"/>
        </w:rPr>
        <w:t>“</w:t>
      </w:r>
      <w:r w:rsidR="000A60AE">
        <w:rPr>
          <w:szCs w:val="24"/>
        </w:rPr>
        <w:t>instantiation</w:t>
      </w:r>
      <w:r w:rsidR="004543EC">
        <w:rPr>
          <w:szCs w:val="24"/>
        </w:rPr>
        <w:t>”</w:t>
      </w:r>
      <w:r w:rsidR="000A60AE">
        <w:rPr>
          <w:szCs w:val="24"/>
        </w:rPr>
        <w:t xml:space="preserve"> of </w:t>
      </w:r>
      <w:r w:rsidR="004543EC">
        <w:rPr>
          <w:szCs w:val="24"/>
        </w:rPr>
        <w:t xml:space="preserve">our </w:t>
      </w:r>
      <w:r w:rsidR="000A60AE">
        <w:rPr>
          <w:szCs w:val="24"/>
        </w:rPr>
        <w:t>fundamental freedoms</w:t>
      </w:r>
      <w:r w:rsidR="00945377" w:rsidRPr="004D1AC3">
        <w:rPr>
          <w:szCs w:val="24"/>
        </w:rPr>
        <w:t xml:space="preserve"> This is n</w:t>
      </w:r>
      <w:r w:rsidR="00667DAA" w:rsidRPr="004D1AC3">
        <w:rPr>
          <w:szCs w:val="24"/>
        </w:rPr>
        <w:t>o</w:t>
      </w:r>
      <w:r w:rsidR="00945377" w:rsidRPr="004D1AC3">
        <w:rPr>
          <w:szCs w:val="24"/>
        </w:rPr>
        <w:t xml:space="preserve">t </w:t>
      </w:r>
      <w:r w:rsidR="00667DAA" w:rsidRPr="004D1AC3">
        <w:rPr>
          <w:szCs w:val="24"/>
        </w:rPr>
        <w:t>only</w:t>
      </w:r>
      <w:r w:rsidR="00945377" w:rsidRPr="004D1AC3">
        <w:rPr>
          <w:szCs w:val="24"/>
        </w:rPr>
        <w:t xml:space="preserve"> because of the undesirability of judicial overreach (combined</w:t>
      </w:r>
      <w:r w:rsidR="005615E8">
        <w:rPr>
          <w:szCs w:val="24"/>
        </w:rPr>
        <w:t>, in some admixture,</w:t>
      </w:r>
      <w:r w:rsidR="00945377" w:rsidRPr="004D1AC3">
        <w:rPr>
          <w:szCs w:val="24"/>
        </w:rPr>
        <w:t xml:space="preserve"> with </w:t>
      </w:r>
      <w:r w:rsidR="005615E8">
        <w:rPr>
          <w:szCs w:val="24"/>
        </w:rPr>
        <w:t xml:space="preserve">both </w:t>
      </w:r>
      <w:r w:rsidR="00945377" w:rsidRPr="004D1AC3">
        <w:rPr>
          <w:szCs w:val="24"/>
        </w:rPr>
        <w:t>incompetence</w:t>
      </w:r>
      <w:r w:rsidR="005615E8">
        <w:rPr>
          <w:szCs w:val="24"/>
        </w:rPr>
        <w:t xml:space="preserve"> and enthusiasm for the job</w:t>
      </w:r>
      <w:r w:rsidR="00945377" w:rsidRPr="004D1AC3">
        <w:rPr>
          <w:szCs w:val="24"/>
        </w:rPr>
        <w:t>)</w:t>
      </w:r>
      <w:r w:rsidR="00667DAA" w:rsidRPr="004D1AC3">
        <w:rPr>
          <w:szCs w:val="24"/>
        </w:rPr>
        <w:t xml:space="preserve"> but because the </w:t>
      </w:r>
      <w:r w:rsidR="006A2F13" w:rsidRPr="004D1AC3">
        <w:rPr>
          <w:szCs w:val="24"/>
        </w:rPr>
        <w:t xml:space="preserve">demand </w:t>
      </w:r>
      <w:r w:rsidR="00682835">
        <w:rPr>
          <w:szCs w:val="24"/>
        </w:rPr>
        <w:t>for</w:t>
      </w:r>
      <w:r w:rsidR="00682835" w:rsidRPr="004D1AC3">
        <w:rPr>
          <w:szCs w:val="24"/>
        </w:rPr>
        <w:t xml:space="preserve"> </w:t>
      </w:r>
      <w:r w:rsidR="00667DAA" w:rsidRPr="004D1AC3">
        <w:rPr>
          <w:szCs w:val="24"/>
        </w:rPr>
        <w:t>equality</w:t>
      </w:r>
      <w:r w:rsidR="004B018D" w:rsidRPr="004D1AC3">
        <w:rPr>
          <w:szCs w:val="24"/>
        </w:rPr>
        <w:t xml:space="preserve"> in the legal instantiation of </w:t>
      </w:r>
      <w:r w:rsidR="00AF27F2" w:rsidRPr="004D1AC3">
        <w:rPr>
          <w:szCs w:val="24"/>
        </w:rPr>
        <w:t>fundamental</w:t>
      </w:r>
      <w:r w:rsidR="004B018D" w:rsidRPr="004D1AC3">
        <w:rPr>
          <w:szCs w:val="24"/>
        </w:rPr>
        <w:t xml:space="preserve"> freedoms</w:t>
      </w:r>
      <w:r w:rsidR="00667DAA" w:rsidRPr="004D1AC3">
        <w:rPr>
          <w:szCs w:val="24"/>
        </w:rPr>
        <w:t xml:space="preserve"> will not countenance it</w:t>
      </w:r>
      <w:r w:rsidR="003E6A6F" w:rsidRPr="004D1AC3">
        <w:rPr>
          <w:szCs w:val="24"/>
        </w:rPr>
        <w:t>.</w:t>
      </w:r>
    </w:p>
    <w:p w14:paraId="60BBD421" w14:textId="1077D7C6" w:rsidR="000730C6" w:rsidRDefault="000730C6" w:rsidP="000730C6">
      <w:pPr>
        <w:spacing w:line="240" w:lineRule="auto"/>
        <w:rPr>
          <w:szCs w:val="24"/>
        </w:rPr>
      </w:pPr>
    </w:p>
    <w:p w14:paraId="29B1240B" w14:textId="2C6A92B8" w:rsidR="00274974" w:rsidRPr="004D1AC3" w:rsidRDefault="002026E5" w:rsidP="00274974">
      <w:pPr>
        <w:spacing w:line="240" w:lineRule="auto"/>
        <w:rPr>
          <w:szCs w:val="24"/>
        </w:rPr>
      </w:pPr>
      <w:r w:rsidRPr="004D1AC3">
        <w:rPr>
          <w:szCs w:val="24"/>
        </w:rPr>
        <w:t xml:space="preserve">There is a lot </w:t>
      </w:r>
      <w:r w:rsidR="00264CBA">
        <w:rPr>
          <w:szCs w:val="24"/>
        </w:rPr>
        <w:t xml:space="preserve">that should be said </w:t>
      </w:r>
      <w:r w:rsidR="00F211CF">
        <w:rPr>
          <w:szCs w:val="24"/>
        </w:rPr>
        <w:t>here.</w:t>
      </w:r>
      <w:r w:rsidR="00742B0A" w:rsidRPr="004D1AC3">
        <w:rPr>
          <w:szCs w:val="24"/>
        </w:rPr>
        <w:t xml:space="preserve"> It cannot all be said here.</w:t>
      </w:r>
      <w:r w:rsidR="00E42663" w:rsidRPr="004D1AC3">
        <w:rPr>
          <w:szCs w:val="24"/>
        </w:rPr>
        <w:t xml:space="preserve"> </w:t>
      </w:r>
      <w:r w:rsidR="003E6A6F" w:rsidRPr="004D1AC3">
        <w:rPr>
          <w:szCs w:val="24"/>
        </w:rPr>
        <w:t xml:space="preserve">I wish to move quickly to my larger quarry </w:t>
      </w:r>
      <w:r w:rsidR="006A2F13" w:rsidRPr="00366C05">
        <w:rPr>
          <w:szCs w:val="24"/>
        </w:rPr>
        <w:t>—</w:t>
      </w:r>
      <w:r w:rsidR="003E6A6F" w:rsidRPr="004D1AC3">
        <w:rPr>
          <w:szCs w:val="24"/>
        </w:rPr>
        <w:t xml:space="preserve"> how did we get here</w:t>
      </w:r>
      <w:r w:rsidR="006E199A">
        <w:rPr>
          <w:szCs w:val="24"/>
        </w:rPr>
        <w:t>,</w:t>
      </w:r>
      <w:r w:rsidR="003E6A6F" w:rsidRPr="004D1AC3">
        <w:rPr>
          <w:szCs w:val="24"/>
        </w:rPr>
        <w:t xml:space="preserve"> and how can we get out?</w:t>
      </w:r>
      <w:r w:rsidR="003E6A6F" w:rsidRPr="004D1AC3">
        <w:rPr>
          <w:rStyle w:val="FootnoteReference"/>
          <w:szCs w:val="24"/>
        </w:rPr>
        <w:footnoteReference w:id="32"/>
      </w:r>
      <w:r w:rsidR="00A00371">
        <w:rPr>
          <w:szCs w:val="24"/>
        </w:rPr>
        <w:t xml:space="preserve"> But we</w:t>
      </w:r>
      <w:r w:rsidR="00A00371" w:rsidRPr="00A00371">
        <w:rPr>
          <w:szCs w:val="24"/>
        </w:rPr>
        <w:t xml:space="preserve"> </w:t>
      </w:r>
      <w:r w:rsidR="00A00371">
        <w:rPr>
          <w:szCs w:val="24"/>
        </w:rPr>
        <w:t xml:space="preserve">should </w:t>
      </w:r>
      <w:r w:rsidR="00A00371" w:rsidRPr="00A00371">
        <w:rPr>
          <w:szCs w:val="24"/>
        </w:rPr>
        <w:t xml:space="preserve">repeat some points made thus far, </w:t>
      </w:r>
      <w:r w:rsidR="00A00371">
        <w:rPr>
          <w:szCs w:val="24"/>
        </w:rPr>
        <w:t>not only because</w:t>
      </w:r>
      <w:r w:rsidR="005A732D">
        <w:rPr>
          <w:szCs w:val="24"/>
        </w:rPr>
        <w:t xml:space="preserve"> </w:t>
      </w:r>
      <w:r w:rsidR="00A00371" w:rsidRPr="00A00371">
        <w:rPr>
          <w:szCs w:val="24"/>
        </w:rPr>
        <w:t>it is worth doing</w:t>
      </w:r>
      <w:r w:rsidR="00A00371">
        <w:rPr>
          <w:szCs w:val="24"/>
        </w:rPr>
        <w:t xml:space="preserve"> but because they put what follows in perspective in terms of </w:t>
      </w:r>
      <w:r w:rsidR="006B1221">
        <w:rPr>
          <w:szCs w:val="24"/>
        </w:rPr>
        <w:t xml:space="preserve">the </w:t>
      </w:r>
      <w:r w:rsidR="005A732D">
        <w:rPr>
          <w:szCs w:val="24"/>
        </w:rPr>
        <w:t>legal</w:t>
      </w:r>
      <w:r w:rsidR="00A00371">
        <w:rPr>
          <w:szCs w:val="24"/>
        </w:rPr>
        <w:t xml:space="preserve"> scale of argumentative ambition. </w:t>
      </w:r>
      <w:r w:rsidR="00A00371" w:rsidRPr="00A00371">
        <w:rPr>
          <w:szCs w:val="24"/>
        </w:rPr>
        <w:t>First</w:t>
      </w:r>
      <w:r w:rsidR="00A00371">
        <w:rPr>
          <w:szCs w:val="24"/>
        </w:rPr>
        <w:t xml:space="preserve">, </w:t>
      </w:r>
      <w:r w:rsidR="00F211CF">
        <w:rPr>
          <w:szCs w:val="24"/>
        </w:rPr>
        <w:t xml:space="preserve">recall </w:t>
      </w:r>
      <w:r w:rsidR="00F211CF" w:rsidRPr="004D1AC3">
        <w:rPr>
          <w:szCs w:val="24"/>
        </w:rPr>
        <w:t>that</w:t>
      </w:r>
      <w:r w:rsidR="00767DE9" w:rsidRPr="004D1AC3">
        <w:rPr>
          <w:szCs w:val="24"/>
        </w:rPr>
        <w:t xml:space="preserve"> th</w:t>
      </w:r>
      <w:r w:rsidR="003E6A6F" w:rsidRPr="004D1AC3">
        <w:rPr>
          <w:szCs w:val="24"/>
        </w:rPr>
        <w:t>e</w:t>
      </w:r>
      <w:r w:rsidR="00767DE9" w:rsidRPr="004D1AC3">
        <w:rPr>
          <w:szCs w:val="24"/>
        </w:rPr>
        <w:t xml:space="preserve"> result</w:t>
      </w:r>
      <w:r w:rsidR="003E6A6F" w:rsidRPr="004D1AC3">
        <w:rPr>
          <w:szCs w:val="24"/>
        </w:rPr>
        <w:t xml:space="preserve"> in </w:t>
      </w:r>
      <w:r w:rsidR="003E6A6F" w:rsidRPr="004D1AC3">
        <w:rPr>
          <w:i/>
          <w:iCs/>
          <w:szCs w:val="24"/>
        </w:rPr>
        <w:t xml:space="preserve">Casinos du </w:t>
      </w:r>
      <w:r w:rsidR="001F5858">
        <w:rPr>
          <w:i/>
          <w:iCs/>
          <w:szCs w:val="24"/>
        </w:rPr>
        <w:t>Québec</w:t>
      </w:r>
      <w:r w:rsidR="00767DE9" w:rsidRPr="004D1AC3">
        <w:rPr>
          <w:szCs w:val="24"/>
        </w:rPr>
        <w:t xml:space="preserve"> is achieved without addressing the validity of the statutory exclusion</w:t>
      </w:r>
      <w:r w:rsidR="001E01FB" w:rsidRPr="004D1AC3">
        <w:rPr>
          <w:szCs w:val="24"/>
        </w:rPr>
        <w:t xml:space="preserve"> within the </w:t>
      </w:r>
      <w:r w:rsidR="00DC0BB8" w:rsidRPr="004D1AC3">
        <w:rPr>
          <w:szCs w:val="24"/>
        </w:rPr>
        <w:t>statutory</w:t>
      </w:r>
      <w:r w:rsidR="001E01FB" w:rsidRPr="004D1AC3">
        <w:rPr>
          <w:szCs w:val="24"/>
        </w:rPr>
        <w:t xml:space="preserve"> scheme</w:t>
      </w:r>
      <w:r w:rsidR="00B2471A">
        <w:rPr>
          <w:szCs w:val="24"/>
        </w:rPr>
        <w:t>, or without,</w:t>
      </w:r>
      <w:r w:rsidR="001E01FB" w:rsidRPr="004D1AC3">
        <w:rPr>
          <w:szCs w:val="24"/>
        </w:rPr>
        <w:t xml:space="preserve"> f</w:t>
      </w:r>
      <w:r w:rsidR="000D6B98" w:rsidRPr="004D1AC3">
        <w:rPr>
          <w:szCs w:val="24"/>
        </w:rPr>
        <w:t>ro</w:t>
      </w:r>
      <w:r w:rsidR="001E01FB" w:rsidRPr="004D1AC3">
        <w:rPr>
          <w:szCs w:val="24"/>
        </w:rPr>
        <w:t xml:space="preserve">m a </w:t>
      </w:r>
      <w:r w:rsidR="00E42663" w:rsidRPr="004D1AC3">
        <w:rPr>
          <w:szCs w:val="24"/>
        </w:rPr>
        <w:t>constitutional</w:t>
      </w:r>
      <w:r w:rsidR="001E01FB" w:rsidRPr="004D1AC3">
        <w:rPr>
          <w:szCs w:val="24"/>
        </w:rPr>
        <w:t xml:space="preserve"> point of vie</w:t>
      </w:r>
      <w:r w:rsidR="006679CA" w:rsidRPr="004D1AC3">
        <w:rPr>
          <w:szCs w:val="24"/>
        </w:rPr>
        <w:t>w.</w:t>
      </w:r>
      <w:r w:rsidR="008D1CB5" w:rsidRPr="004D1AC3">
        <w:rPr>
          <w:szCs w:val="24"/>
        </w:rPr>
        <w:t xml:space="preserve"> We never get</w:t>
      </w:r>
      <w:r w:rsidR="00E01D56" w:rsidRPr="004D1AC3">
        <w:rPr>
          <w:szCs w:val="24"/>
        </w:rPr>
        <w:t xml:space="preserve"> a</w:t>
      </w:r>
      <w:r w:rsidR="00DC0BB8" w:rsidRPr="004D1AC3">
        <w:rPr>
          <w:szCs w:val="24"/>
        </w:rPr>
        <w:t xml:space="preserve"> constitutional, </w:t>
      </w:r>
      <w:r w:rsidR="006A2F13" w:rsidRPr="004D1AC3">
        <w:rPr>
          <w:szCs w:val="24"/>
        </w:rPr>
        <w:t>i.e.</w:t>
      </w:r>
      <w:r w:rsidR="00DC0BB8" w:rsidRPr="004D1AC3">
        <w:rPr>
          <w:szCs w:val="24"/>
        </w:rPr>
        <w:t xml:space="preserve"> s. 1</w:t>
      </w:r>
      <w:r w:rsidR="00CB471E" w:rsidRPr="004D1AC3">
        <w:rPr>
          <w:szCs w:val="24"/>
        </w:rPr>
        <w:t>,</w:t>
      </w:r>
      <w:r w:rsidR="00E01D56" w:rsidRPr="004D1AC3">
        <w:rPr>
          <w:szCs w:val="24"/>
        </w:rPr>
        <w:t xml:space="preserve"> assessment of </w:t>
      </w:r>
      <w:r w:rsidR="006679CA" w:rsidRPr="004D1AC3">
        <w:rPr>
          <w:szCs w:val="24"/>
        </w:rPr>
        <w:t>the widely accepted</w:t>
      </w:r>
      <w:r w:rsidR="00434334">
        <w:rPr>
          <w:szCs w:val="24"/>
        </w:rPr>
        <w:t xml:space="preserve"> twofold</w:t>
      </w:r>
      <w:r w:rsidR="006679CA" w:rsidRPr="004D1AC3">
        <w:rPr>
          <w:szCs w:val="24"/>
        </w:rPr>
        <w:t xml:space="preserve"> justification</w:t>
      </w:r>
      <w:r w:rsidR="00164C9E" w:rsidRPr="004D1AC3">
        <w:rPr>
          <w:szCs w:val="24"/>
        </w:rPr>
        <w:t xml:space="preserve">. </w:t>
      </w:r>
      <w:r w:rsidR="00274974" w:rsidRPr="004D1AC3">
        <w:rPr>
          <w:szCs w:val="24"/>
        </w:rPr>
        <w:t>As ou</w:t>
      </w:r>
      <w:r w:rsidR="00274974">
        <w:rPr>
          <w:szCs w:val="24"/>
        </w:rPr>
        <w:t>r</w:t>
      </w:r>
      <w:r w:rsidR="00274974" w:rsidRPr="004D1AC3">
        <w:rPr>
          <w:szCs w:val="24"/>
        </w:rPr>
        <w:t xml:space="preserve"> jurisprudence makes clear</w:t>
      </w:r>
      <w:r w:rsidR="00274974">
        <w:rPr>
          <w:szCs w:val="24"/>
        </w:rPr>
        <w:t>,</w:t>
      </w:r>
      <w:r w:rsidR="00F211CF">
        <w:rPr>
          <w:szCs w:val="24"/>
        </w:rPr>
        <w:t xml:space="preserve"> </w:t>
      </w:r>
      <w:r w:rsidR="00274974" w:rsidRPr="004D1AC3">
        <w:rPr>
          <w:szCs w:val="24"/>
        </w:rPr>
        <w:t xml:space="preserve">the purpose of the exclusion was exclusion. From collective bargaining, and striking, and enforceable collective agreements, and all the rest. For good reasons basic to </w:t>
      </w:r>
      <w:r w:rsidR="00274974">
        <w:rPr>
          <w:szCs w:val="24"/>
        </w:rPr>
        <w:t xml:space="preserve">the </w:t>
      </w:r>
      <w:r w:rsidR="00274974" w:rsidRPr="004D1AC3">
        <w:rPr>
          <w:szCs w:val="24"/>
        </w:rPr>
        <w:t>purposes of the statute</w:t>
      </w:r>
      <w:r w:rsidR="00274974">
        <w:rPr>
          <w:szCs w:val="24"/>
        </w:rPr>
        <w:t xml:space="preserve"> </w:t>
      </w:r>
      <w:r w:rsidR="00274974" w:rsidRPr="00366C05">
        <w:rPr>
          <w:szCs w:val="24"/>
        </w:rPr>
        <w:t>—</w:t>
      </w:r>
      <w:r w:rsidR="00274974">
        <w:rPr>
          <w:szCs w:val="24"/>
        </w:rPr>
        <w:t xml:space="preserve"> </w:t>
      </w:r>
      <w:r w:rsidR="00497253">
        <w:rPr>
          <w:szCs w:val="24"/>
        </w:rPr>
        <w:t xml:space="preserve">including, crucially, </w:t>
      </w:r>
      <w:r w:rsidR="00274974">
        <w:rPr>
          <w:szCs w:val="24"/>
        </w:rPr>
        <w:t xml:space="preserve">protecting the rights and freedoms of non-managers. </w:t>
      </w:r>
      <w:r w:rsidR="00274974" w:rsidRPr="004D1AC3">
        <w:rPr>
          <w:szCs w:val="24"/>
        </w:rPr>
        <w:t>To s</w:t>
      </w:r>
      <w:r w:rsidR="008512E9">
        <w:rPr>
          <w:szCs w:val="24"/>
        </w:rPr>
        <w:t>ay that</w:t>
      </w:r>
      <w:r w:rsidR="00274974">
        <w:rPr>
          <w:szCs w:val="24"/>
        </w:rPr>
        <w:t xml:space="preserve"> what was denied by statute </w:t>
      </w:r>
      <w:r w:rsidR="008512E9">
        <w:rPr>
          <w:szCs w:val="24"/>
        </w:rPr>
        <w:t xml:space="preserve">is </w:t>
      </w:r>
      <w:r w:rsidR="00274974" w:rsidRPr="004D1AC3">
        <w:rPr>
          <w:szCs w:val="24"/>
        </w:rPr>
        <w:t>open to managers (in</w:t>
      </w:r>
      <w:r w:rsidR="00274974">
        <w:rPr>
          <w:szCs w:val="24"/>
        </w:rPr>
        <w:t xml:space="preserve"> </w:t>
      </w:r>
      <w:r w:rsidR="00274974" w:rsidRPr="004D1AC3">
        <w:rPr>
          <w:szCs w:val="24"/>
        </w:rPr>
        <w:t xml:space="preserve">a parallel system) is to </w:t>
      </w:r>
      <w:r w:rsidR="00274974">
        <w:rPr>
          <w:szCs w:val="24"/>
        </w:rPr>
        <w:t xml:space="preserve">either </w:t>
      </w:r>
      <w:r w:rsidR="00274974" w:rsidRPr="004D1AC3">
        <w:rPr>
          <w:szCs w:val="24"/>
        </w:rPr>
        <w:t>misunderstand</w:t>
      </w:r>
      <w:r w:rsidR="00274974">
        <w:rPr>
          <w:szCs w:val="24"/>
        </w:rPr>
        <w:t>,</w:t>
      </w:r>
      <w:r w:rsidR="00274974" w:rsidRPr="004D1AC3">
        <w:rPr>
          <w:szCs w:val="24"/>
        </w:rPr>
        <w:t xml:space="preserve"> </w:t>
      </w:r>
      <w:r w:rsidR="00274974">
        <w:rPr>
          <w:szCs w:val="24"/>
        </w:rPr>
        <w:t xml:space="preserve">or simply reject, </w:t>
      </w:r>
      <w:r w:rsidR="008512E9">
        <w:rPr>
          <w:szCs w:val="24"/>
        </w:rPr>
        <w:t xml:space="preserve">or both, </w:t>
      </w:r>
      <w:r w:rsidR="00274974" w:rsidRPr="004D1AC3">
        <w:rPr>
          <w:szCs w:val="24"/>
        </w:rPr>
        <w:t xml:space="preserve">the </w:t>
      </w:r>
      <w:r w:rsidR="00274974">
        <w:rPr>
          <w:szCs w:val="24"/>
        </w:rPr>
        <w:t xml:space="preserve">(rational) </w:t>
      </w:r>
      <w:r w:rsidR="00274974" w:rsidRPr="004D1AC3">
        <w:rPr>
          <w:szCs w:val="24"/>
        </w:rPr>
        <w:t>p</w:t>
      </w:r>
      <w:r w:rsidR="00274974">
        <w:rPr>
          <w:szCs w:val="24"/>
        </w:rPr>
        <w:t>urpose</w:t>
      </w:r>
      <w:r w:rsidR="00497253">
        <w:rPr>
          <w:szCs w:val="24"/>
        </w:rPr>
        <w:t>s</w:t>
      </w:r>
      <w:r w:rsidR="00274974" w:rsidRPr="004D1AC3">
        <w:rPr>
          <w:szCs w:val="24"/>
        </w:rPr>
        <w:t xml:space="preserve"> of the exclusion. And</w:t>
      </w:r>
      <w:r w:rsidR="008512E9">
        <w:rPr>
          <w:szCs w:val="24"/>
        </w:rPr>
        <w:t>, as a result,</w:t>
      </w:r>
      <w:r w:rsidR="00274974" w:rsidRPr="004D1AC3">
        <w:rPr>
          <w:szCs w:val="24"/>
        </w:rPr>
        <w:t xml:space="preserve"> undermine</w:t>
      </w:r>
      <w:r w:rsidR="00274974">
        <w:rPr>
          <w:szCs w:val="24"/>
        </w:rPr>
        <w:t xml:space="preserve"> it.</w:t>
      </w:r>
    </w:p>
    <w:p w14:paraId="0BC07AF6" w14:textId="77777777" w:rsidR="00274974" w:rsidRDefault="00274974" w:rsidP="00274974">
      <w:pPr>
        <w:spacing w:line="240" w:lineRule="auto"/>
        <w:ind w:left="54"/>
        <w:rPr>
          <w:szCs w:val="24"/>
        </w:rPr>
      </w:pPr>
    </w:p>
    <w:p w14:paraId="138DCACA" w14:textId="7E1A5796" w:rsidR="00032443" w:rsidRPr="004D1AC3" w:rsidRDefault="00274974" w:rsidP="00032443">
      <w:pPr>
        <w:spacing w:line="240" w:lineRule="auto"/>
        <w:ind w:left="54"/>
        <w:rPr>
          <w:szCs w:val="24"/>
        </w:rPr>
      </w:pPr>
      <w:r w:rsidRPr="004D1AC3">
        <w:rPr>
          <w:szCs w:val="24"/>
        </w:rPr>
        <w:t xml:space="preserve">The constitutional question in </w:t>
      </w:r>
      <w:r w:rsidRPr="004D1AC3">
        <w:rPr>
          <w:i/>
          <w:iCs/>
          <w:szCs w:val="24"/>
        </w:rPr>
        <w:t xml:space="preserve">Casinos du </w:t>
      </w:r>
      <w:r>
        <w:rPr>
          <w:i/>
          <w:iCs/>
          <w:szCs w:val="24"/>
        </w:rPr>
        <w:t>Québec</w:t>
      </w:r>
      <w:r w:rsidRPr="004D1AC3">
        <w:rPr>
          <w:szCs w:val="24"/>
        </w:rPr>
        <w:t xml:space="preserve"> was whether this exclusion was constitutionally justified. This question is </w:t>
      </w:r>
      <w:r w:rsidR="00966254">
        <w:rPr>
          <w:szCs w:val="24"/>
        </w:rPr>
        <w:t>un</w:t>
      </w:r>
      <w:r w:rsidRPr="004D1AC3">
        <w:rPr>
          <w:szCs w:val="24"/>
        </w:rPr>
        <w:t xml:space="preserve">avoidable. It is certainly </w:t>
      </w:r>
      <w:r w:rsidR="00497253">
        <w:rPr>
          <w:szCs w:val="24"/>
        </w:rPr>
        <w:t xml:space="preserve">not </w:t>
      </w:r>
      <w:r w:rsidRPr="004D1AC3">
        <w:rPr>
          <w:szCs w:val="24"/>
        </w:rPr>
        <w:t>avoidable with the assertion</w:t>
      </w:r>
      <w:r>
        <w:rPr>
          <w:szCs w:val="24"/>
        </w:rPr>
        <w:t>,</w:t>
      </w:r>
      <w:r w:rsidRPr="004D1AC3">
        <w:rPr>
          <w:szCs w:val="24"/>
        </w:rPr>
        <w:t xml:space="preserve"> “it does not matter because you have a common law set of rights and freedoms, as read through a constitutional lens, outside of the statute</w:t>
      </w:r>
      <w:r>
        <w:rPr>
          <w:szCs w:val="24"/>
        </w:rPr>
        <w:t>.</w:t>
      </w:r>
      <w:r w:rsidRPr="004D1AC3">
        <w:rPr>
          <w:szCs w:val="24"/>
        </w:rPr>
        <w:t xml:space="preserve">” What, </w:t>
      </w:r>
      <w:r>
        <w:rPr>
          <w:szCs w:val="24"/>
        </w:rPr>
        <w:t xml:space="preserve">one </w:t>
      </w:r>
      <w:r w:rsidRPr="004D1AC3">
        <w:rPr>
          <w:szCs w:val="24"/>
        </w:rPr>
        <w:t>has to ask, is the status of the exclusion in the parallel system? What is that system’s view?</w:t>
      </w:r>
      <w:r w:rsidR="00032443">
        <w:rPr>
          <w:szCs w:val="24"/>
        </w:rPr>
        <w:t xml:space="preserve"> </w:t>
      </w:r>
      <w:r w:rsidR="00032443" w:rsidRPr="004D1AC3">
        <w:rPr>
          <w:szCs w:val="24"/>
        </w:rPr>
        <w:t xml:space="preserve">What must be confronted from a constitutional point of view is whether the exclusion is justified. This task is shunned by the SCC in </w:t>
      </w:r>
      <w:r w:rsidR="00262ECA">
        <w:rPr>
          <w:i/>
          <w:iCs/>
        </w:rPr>
        <w:t>C</w:t>
      </w:r>
      <w:r w:rsidR="00262ECA" w:rsidRPr="007A4305">
        <w:rPr>
          <w:i/>
          <w:iCs/>
        </w:rPr>
        <w:t>asinos du Québec</w:t>
      </w:r>
      <w:r w:rsidR="00032443" w:rsidRPr="004D1AC3">
        <w:rPr>
          <w:szCs w:val="24"/>
        </w:rPr>
        <w:t>. In one of the most remarkable sentences ever to be written in the history of Canadian labour law jurisprudence</w:t>
      </w:r>
      <w:r w:rsidR="00032443">
        <w:rPr>
          <w:szCs w:val="24"/>
        </w:rPr>
        <w:t>,</w:t>
      </w:r>
      <w:r w:rsidR="00032443" w:rsidRPr="004D1AC3">
        <w:rPr>
          <w:szCs w:val="24"/>
        </w:rPr>
        <w:t xml:space="preserve"> the majority asserts</w:t>
      </w:r>
      <w:r w:rsidR="00032443">
        <w:rPr>
          <w:szCs w:val="24"/>
        </w:rPr>
        <w:t>,</w:t>
      </w:r>
      <w:r w:rsidR="00032443" w:rsidRPr="004D1AC3">
        <w:rPr>
          <w:szCs w:val="24"/>
        </w:rPr>
        <w:t xml:space="preserve"> “In my view the purpose of the legislative exclusion is not to interfere with managers’ associational rights</w:t>
      </w:r>
      <w:r w:rsidR="00032443">
        <w:rPr>
          <w:szCs w:val="24"/>
        </w:rPr>
        <w:t>.</w:t>
      </w:r>
      <w:r w:rsidR="00032443" w:rsidRPr="004D1AC3">
        <w:rPr>
          <w:szCs w:val="24"/>
        </w:rPr>
        <w:t>”</w:t>
      </w:r>
      <w:r w:rsidR="00032443" w:rsidRPr="004D1AC3">
        <w:rPr>
          <w:rStyle w:val="FootnoteReference"/>
          <w:szCs w:val="24"/>
        </w:rPr>
        <w:footnoteReference w:id="33"/>
      </w:r>
      <w:r w:rsidR="00032443" w:rsidRPr="004D1AC3">
        <w:rPr>
          <w:szCs w:val="24"/>
        </w:rPr>
        <w:t xml:space="preserve"> I am not sure what to make of that. It is not simply that it is wrong. It is that it is unbelievable. Tell it to the managers who brought this case. </w:t>
      </w:r>
      <w:r w:rsidR="00032443">
        <w:rPr>
          <w:szCs w:val="24"/>
        </w:rPr>
        <w:t xml:space="preserve">Tell it to contemporary Canadian </w:t>
      </w:r>
      <w:r w:rsidR="00EC71A2">
        <w:rPr>
          <w:szCs w:val="24"/>
        </w:rPr>
        <w:t>relations boards</w:t>
      </w:r>
      <w:r w:rsidR="00032443">
        <w:rPr>
          <w:szCs w:val="24"/>
        </w:rPr>
        <w:t>.</w:t>
      </w:r>
      <w:r w:rsidR="00F50103">
        <w:rPr>
          <w:szCs w:val="24"/>
        </w:rPr>
        <w:t xml:space="preserve"> Tell it to generations of labour lawyers.</w:t>
      </w:r>
      <w:r w:rsidR="00032443" w:rsidRPr="004D1AC3">
        <w:rPr>
          <w:rStyle w:val="FootnoteReference"/>
          <w:szCs w:val="24"/>
        </w:rPr>
        <w:footnoteReference w:id="34"/>
      </w:r>
    </w:p>
    <w:p w14:paraId="7239F559" w14:textId="41A95F5B" w:rsidR="00274974" w:rsidRPr="004D1AC3" w:rsidRDefault="00274974" w:rsidP="00274974">
      <w:pPr>
        <w:spacing w:line="240" w:lineRule="auto"/>
        <w:ind w:left="54"/>
        <w:rPr>
          <w:szCs w:val="24"/>
        </w:rPr>
      </w:pPr>
    </w:p>
    <w:p w14:paraId="628687BD" w14:textId="67FAAC38" w:rsidR="00274974" w:rsidRDefault="00B2471A" w:rsidP="000730C6">
      <w:pPr>
        <w:spacing w:line="240" w:lineRule="auto"/>
        <w:rPr>
          <w:szCs w:val="24"/>
        </w:rPr>
      </w:pPr>
      <w:r>
        <w:rPr>
          <w:szCs w:val="24"/>
        </w:rPr>
        <w:t xml:space="preserve">Second, </w:t>
      </w:r>
      <w:r w:rsidR="00721CEE" w:rsidRPr="004D1AC3">
        <w:rPr>
          <w:szCs w:val="24"/>
        </w:rPr>
        <w:t>we have here</w:t>
      </w:r>
      <w:r>
        <w:rPr>
          <w:szCs w:val="24"/>
        </w:rPr>
        <w:t>, a</w:t>
      </w:r>
      <w:r w:rsidR="008F6D9A">
        <w:rPr>
          <w:szCs w:val="24"/>
        </w:rPr>
        <w:t>s already</w:t>
      </w:r>
      <w:r>
        <w:rPr>
          <w:szCs w:val="24"/>
        </w:rPr>
        <w:t xml:space="preserve"> noted</w:t>
      </w:r>
      <w:r w:rsidR="00AA16FB">
        <w:rPr>
          <w:szCs w:val="24"/>
        </w:rPr>
        <w:t>,</w:t>
      </w:r>
      <w:r w:rsidR="0020358C">
        <w:rPr>
          <w:rStyle w:val="FootnoteReference"/>
          <w:szCs w:val="24"/>
        </w:rPr>
        <w:footnoteReference w:id="35"/>
      </w:r>
      <w:r w:rsidR="00721CEE" w:rsidRPr="004D1AC3">
        <w:rPr>
          <w:szCs w:val="24"/>
        </w:rPr>
        <w:t xml:space="preserve"> another </w:t>
      </w:r>
      <w:r w:rsidR="00721CEE" w:rsidRPr="004D1AC3">
        <w:rPr>
          <w:i/>
          <w:iCs/>
          <w:szCs w:val="24"/>
        </w:rPr>
        <w:t>Fraser</w:t>
      </w:r>
      <w:r w:rsidR="00721CEE" w:rsidRPr="004D1AC3">
        <w:rPr>
          <w:szCs w:val="24"/>
        </w:rPr>
        <w:t xml:space="preserve"> result </w:t>
      </w:r>
      <w:r w:rsidR="006A2F13" w:rsidRPr="00366C05">
        <w:rPr>
          <w:szCs w:val="24"/>
        </w:rPr>
        <w:t>—</w:t>
      </w:r>
      <w:r w:rsidR="00721CEE" w:rsidRPr="004D1AC3">
        <w:rPr>
          <w:szCs w:val="24"/>
        </w:rPr>
        <w:t xml:space="preserve"> a complete reading down of the content of</w:t>
      </w:r>
      <w:r w:rsidR="007C7AF1" w:rsidRPr="004D1AC3">
        <w:rPr>
          <w:szCs w:val="24"/>
        </w:rPr>
        <w:t xml:space="preserve">, the meaning of, </w:t>
      </w:r>
      <w:r w:rsidR="007A3674" w:rsidRPr="004D1AC3">
        <w:rPr>
          <w:szCs w:val="24"/>
        </w:rPr>
        <w:t>in constitutio</w:t>
      </w:r>
      <w:r w:rsidR="00C751A9" w:rsidRPr="004D1AC3">
        <w:rPr>
          <w:szCs w:val="24"/>
        </w:rPr>
        <w:t xml:space="preserve">nal </w:t>
      </w:r>
      <w:r w:rsidR="007A3674" w:rsidRPr="004D1AC3">
        <w:rPr>
          <w:szCs w:val="24"/>
        </w:rPr>
        <w:t xml:space="preserve">terms, </w:t>
      </w:r>
      <w:r w:rsidR="007C7AF1" w:rsidRPr="004D1AC3">
        <w:rPr>
          <w:szCs w:val="24"/>
        </w:rPr>
        <w:t>collective bargaining and so on</w:t>
      </w:r>
      <w:r w:rsidR="004C22AB" w:rsidRPr="004D1AC3">
        <w:rPr>
          <w:szCs w:val="24"/>
        </w:rPr>
        <w:t>,</w:t>
      </w:r>
      <w:r w:rsidR="00487BF8" w:rsidRPr="004D1AC3">
        <w:rPr>
          <w:szCs w:val="24"/>
        </w:rPr>
        <w:t xml:space="preserve"> “outside” the statutory regime</w:t>
      </w:r>
      <w:r w:rsidR="004C22AB" w:rsidRPr="004D1AC3">
        <w:rPr>
          <w:szCs w:val="24"/>
        </w:rPr>
        <w:t xml:space="preserve"> as compared to inside</w:t>
      </w:r>
      <w:r w:rsidR="00487BF8" w:rsidRPr="004D1AC3">
        <w:rPr>
          <w:szCs w:val="24"/>
        </w:rPr>
        <w:t>.</w:t>
      </w:r>
      <w:r w:rsidR="00E42663" w:rsidRPr="004D1AC3">
        <w:rPr>
          <w:szCs w:val="24"/>
        </w:rPr>
        <w:t xml:space="preserve"> </w:t>
      </w:r>
    </w:p>
    <w:p w14:paraId="00B87FF7" w14:textId="77777777" w:rsidR="00274974" w:rsidRDefault="00274974" w:rsidP="000730C6">
      <w:pPr>
        <w:spacing w:line="240" w:lineRule="auto"/>
        <w:rPr>
          <w:szCs w:val="24"/>
        </w:rPr>
      </w:pPr>
    </w:p>
    <w:p w14:paraId="663D5F04" w14:textId="34249A38" w:rsidR="000730C6" w:rsidRDefault="007C7AF1" w:rsidP="00C76E85">
      <w:pPr>
        <w:spacing w:line="240" w:lineRule="auto"/>
        <w:rPr>
          <w:szCs w:val="24"/>
        </w:rPr>
      </w:pPr>
      <w:r w:rsidRPr="004D1AC3">
        <w:rPr>
          <w:szCs w:val="24"/>
        </w:rPr>
        <w:t>But these</w:t>
      </w:r>
      <w:r w:rsidR="00C9541E">
        <w:rPr>
          <w:szCs w:val="24"/>
        </w:rPr>
        <w:t xml:space="preserve"> points</w:t>
      </w:r>
      <w:r w:rsidR="00274974">
        <w:rPr>
          <w:szCs w:val="24"/>
        </w:rPr>
        <w:t xml:space="preserve">, important as they </w:t>
      </w:r>
      <w:r w:rsidR="00873FF9">
        <w:rPr>
          <w:szCs w:val="24"/>
        </w:rPr>
        <w:t xml:space="preserve">are, </w:t>
      </w:r>
      <w:r w:rsidR="00873FF9" w:rsidRPr="004D1AC3">
        <w:rPr>
          <w:szCs w:val="24"/>
        </w:rPr>
        <w:t>need</w:t>
      </w:r>
      <w:r w:rsidR="00C9541E">
        <w:rPr>
          <w:szCs w:val="24"/>
        </w:rPr>
        <w:t xml:space="preserve"> to be put in perspective.</w:t>
      </w:r>
      <w:r w:rsidR="006C38A0" w:rsidRPr="004D1AC3">
        <w:rPr>
          <w:szCs w:val="24"/>
        </w:rPr>
        <w:t xml:space="preserve"> T</w:t>
      </w:r>
      <w:r w:rsidR="00A6605C" w:rsidRPr="004D1AC3">
        <w:rPr>
          <w:szCs w:val="24"/>
        </w:rPr>
        <w:t>he parallel universe</w:t>
      </w:r>
      <w:r w:rsidR="001435D3" w:rsidRPr="004D1AC3">
        <w:rPr>
          <w:szCs w:val="24"/>
        </w:rPr>
        <w:t xml:space="preserve"> </w:t>
      </w:r>
      <w:r w:rsidR="006C38A0" w:rsidRPr="004D1AC3">
        <w:rPr>
          <w:szCs w:val="24"/>
        </w:rPr>
        <w:t>project</w:t>
      </w:r>
      <w:r w:rsidRPr="004D1AC3">
        <w:rPr>
          <w:szCs w:val="24"/>
        </w:rPr>
        <w:t xml:space="preserve"> </w:t>
      </w:r>
      <w:r w:rsidR="00B9216B">
        <w:rPr>
          <w:szCs w:val="24"/>
        </w:rPr>
        <w:t xml:space="preserve">point </w:t>
      </w:r>
      <w:r w:rsidR="001435D3" w:rsidRPr="004D1AC3">
        <w:rPr>
          <w:szCs w:val="24"/>
        </w:rPr>
        <w:t>is big.</w:t>
      </w:r>
      <w:r w:rsidR="006249FA" w:rsidRPr="004D1AC3">
        <w:rPr>
          <w:szCs w:val="24"/>
        </w:rPr>
        <w:t xml:space="preserve"> </w:t>
      </w:r>
      <w:r w:rsidRPr="004D1AC3">
        <w:rPr>
          <w:szCs w:val="24"/>
        </w:rPr>
        <w:t xml:space="preserve">Really big. So big in fact we </w:t>
      </w:r>
      <w:r w:rsidR="00C751A9" w:rsidRPr="004D1AC3">
        <w:rPr>
          <w:szCs w:val="24"/>
        </w:rPr>
        <w:t>can’t</w:t>
      </w:r>
      <w:r w:rsidRPr="004D1AC3">
        <w:rPr>
          <w:szCs w:val="24"/>
        </w:rPr>
        <w:t xml:space="preserve"> see the end of </w:t>
      </w:r>
      <w:r w:rsidR="009E1CCE" w:rsidRPr="004D1AC3">
        <w:rPr>
          <w:szCs w:val="24"/>
        </w:rPr>
        <w:t>it. But we do know</w:t>
      </w:r>
      <w:r w:rsidR="00C751A9" w:rsidRPr="004D1AC3">
        <w:rPr>
          <w:szCs w:val="24"/>
        </w:rPr>
        <w:t xml:space="preserve"> that it will, it must, in fact</w:t>
      </w:r>
      <w:r w:rsidR="006C392C">
        <w:rPr>
          <w:szCs w:val="24"/>
        </w:rPr>
        <w:t>,</w:t>
      </w:r>
      <w:r w:rsidR="00C751A9" w:rsidRPr="004D1AC3">
        <w:rPr>
          <w:szCs w:val="24"/>
        </w:rPr>
        <w:t xml:space="preserve"> occupy all the space currently occupied by </w:t>
      </w:r>
      <w:r w:rsidR="00346410" w:rsidRPr="004D1AC3">
        <w:rPr>
          <w:szCs w:val="24"/>
        </w:rPr>
        <w:t xml:space="preserve">our </w:t>
      </w:r>
      <w:r w:rsidR="0055313A" w:rsidRPr="004D1AC3">
        <w:rPr>
          <w:szCs w:val="24"/>
        </w:rPr>
        <w:t>statutory</w:t>
      </w:r>
      <w:r w:rsidR="000E0836" w:rsidRPr="004D1AC3">
        <w:rPr>
          <w:szCs w:val="24"/>
        </w:rPr>
        <w:t xml:space="preserve"> and common law of freedom of association.</w:t>
      </w:r>
      <w:r w:rsidR="002313BB">
        <w:rPr>
          <w:rStyle w:val="FootnoteReference"/>
          <w:szCs w:val="24"/>
        </w:rPr>
        <w:footnoteReference w:id="36"/>
      </w:r>
      <w:r w:rsidR="00E42663" w:rsidRPr="004D1AC3">
        <w:rPr>
          <w:szCs w:val="24"/>
        </w:rPr>
        <w:t xml:space="preserve"> </w:t>
      </w:r>
    </w:p>
    <w:p w14:paraId="281480EE" w14:textId="77777777" w:rsidR="00C0149D" w:rsidRPr="004D1AC3" w:rsidRDefault="00C0149D" w:rsidP="00400722">
      <w:pPr>
        <w:spacing w:line="240" w:lineRule="auto"/>
        <w:rPr>
          <w:szCs w:val="24"/>
        </w:rPr>
      </w:pPr>
    </w:p>
    <w:p w14:paraId="4585A879" w14:textId="6D2BF020" w:rsidR="007317F6" w:rsidRDefault="006C171B" w:rsidP="004C2A54">
      <w:pPr>
        <w:spacing w:line="240" w:lineRule="auto"/>
        <w:rPr>
          <w:b/>
          <w:bCs/>
          <w:szCs w:val="24"/>
        </w:rPr>
      </w:pPr>
      <w:proofErr w:type="gramStart"/>
      <w:r>
        <w:rPr>
          <w:b/>
          <w:bCs/>
          <w:szCs w:val="24"/>
        </w:rPr>
        <w:t>V  A</w:t>
      </w:r>
      <w:proofErr w:type="gramEnd"/>
      <w:r>
        <w:rPr>
          <w:b/>
          <w:bCs/>
          <w:szCs w:val="24"/>
        </w:rPr>
        <w:t xml:space="preserve"> way out</w:t>
      </w:r>
      <w:r w:rsidR="00084592">
        <w:rPr>
          <w:b/>
          <w:bCs/>
          <w:szCs w:val="24"/>
        </w:rPr>
        <w:t>?</w:t>
      </w:r>
    </w:p>
    <w:p w14:paraId="4A8C1BBF" w14:textId="77777777" w:rsidR="00084592" w:rsidRDefault="00084592" w:rsidP="004C2A54">
      <w:pPr>
        <w:spacing w:line="240" w:lineRule="auto"/>
        <w:rPr>
          <w:b/>
          <w:bCs/>
          <w:szCs w:val="24"/>
        </w:rPr>
      </w:pPr>
    </w:p>
    <w:p w14:paraId="4087EE29" w14:textId="6CF5FEE1" w:rsidR="00084592" w:rsidRPr="00120329" w:rsidRDefault="00084592" w:rsidP="00084592">
      <w:pPr>
        <w:pStyle w:val="ListParagraph"/>
        <w:numPr>
          <w:ilvl w:val="0"/>
          <w:numId w:val="2"/>
        </w:numPr>
        <w:spacing w:line="240" w:lineRule="auto"/>
        <w:rPr>
          <w:b/>
          <w:bCs/>
          <w:szCs w:val="24"/>
        </w:rPr>
      </w:pPr>
      <w:r w:rsidRPr="00120329">
        <w:rPr>
          <w:b/>
          <w:bCs/>
          <w:szCs w:val="24"/>
        </w:rPr>
        <w:t xml:space="preserve">Cleaning up our 2(d) </w:t>
      </w:r>
      <w:r w:rsidR="00120329" w:rsidRPr="00120329">
        <w:rPr>
          <w:b/>
          <w:bCs/>
          <w:szCs w:val="24"/>
        </w:rPr>
        <w:t>cases</w:t>
      </w:r>
    </w:p>
    <w:p w14:paraId="1AFACF7E" w14:textId="645CD5B4" w:rsidR="007317F6" w:rsidRPr="004D1AC3" w:rsidRDefault="00526638" w:rsidP="00C76E85">
      <w:pPr>
        <w:spacing w:line="240" w:lineRule="auto"/>
        <w:rPr>
          <w:szCs w:val="24"/>
        </w:rPr>
      </w:pPr>
      <w:r>
        <w:rPr>
          <w:szCs w:val="24"/>
        </w:rPr>
        <w:t xml:space="preserve">The </w:t>
      </w:r>
      <w:r w:rsidR="007317F6" w:rsidRPr="004D1AC3">
        <w:rPr>
          <w:szCs w:val="24"/>
        </w:rPr>
        <w:t>point of going further</w:t>
      </w:r>
      <w:r w:rsidR="002C47CA" w:rsidRPr="004D1AC3">
        <w:rPr>
          <w:szCs w:val="24"/>
        </w:rPr>
        <w:t>, and digging deeper,</w:t>
      </w:r>
      <w:r w:rsidR="007317F6" w:rsidRPr="004D1AC3">
        <w:rPr>
          <w:szCs w:val="24"/>
        </w:rPr>
        <w:t xml:space="preserve"> is to find a way </w:t>
      </w:r>
      <w:r w:rsidR="001D2DE3">
        <w:rPr>
          <w:szCs w:val="24"/>
        </w:rPr>
        <w:t>back to port f</w:t>
      </w:r>
      <w:r w:rsidR="00933CF1">
        <w:rPr>
          <w:szCs w:val="24"/>
        </w:rPr>
        <w:t xml:space="preserve">rom </w:t>
      </w:r>
      <w:r w:rsidR="001D2DE3">
        <w:rPr>
          <w:szCs w:val="24"/>
        </w:rPr>
        <w:t xml:space="preserve">the wide </w:t>
      </w:r>
      <w:r w:rsidR="00933CF1">
        <w:rPr>
          <w:szCs w:val="24"/>
        </w:rPr>
        <w:t xml:space="preserve">and wild </w:t>
      </w:r>
      <w:r w:rsidR="001D2DE3">
        <w:rPr>
          <w:szCs w:val="24"/>
        </w:rPr>
        <w:t xml:space="preserve">seas </w:t>
      </w:r>
      <w:r w:rsidR="00933CF1">
        <w:rPr>
          <w:szCs w:val="24"/>
        </w:rPr>
        <w:t xml:space="preserve">onto </w:t>
      </w:r>
      <w:r w:rsidR="007317F6" w:rsidRPr="004D1AC3">
        <w:rPr>
          <w:szCs w:val="24"/>
        </w:rPr>
        <w:t xml:space="preserve">which </w:t>
      </w:r>
      <w:r>
        <w:rPr>
          <w:szCs w:val="24"/>
        </w:rPr>
        <w:t xml:space="preserve">the SCC in cases such as </w:t>
      </w:r>
      <w:r w:rsidR="007317F6" w:rsidRPr="004D1AC3">
        <w:rPr>
          <w:i/>
          <w:iCs/>
          <w:szCs w:val="24"/>
        </w:rPr>
        <w:t xml:space="preserve">Casinos du </w:t>
      </w:r>
      <w:r w:rsidR="001F5858">
        <w:rPr>
          <w:i/>
          <w:iCs/>
          <w:szCs w:val="24"/>
        </w:rPr>
        <w:t>Québec</w:t>
      </w:r>
      <w:r w:rsidR="002A057E">
        <w:rPr>
          <w:i/>
          <w:iCs/>
          <w:szCs w:val="24"/>
        </w:rPr>
        <w:t xml:space="preserve">, </w:t>
      </w:r>
      <w:r w:rsidR="002A057E">
        <w:rPr>
          <w:szCs w:val="24"/>
        </w:rPr>
        <w:t>like the sirens, beckons us.</w:t>
      </w:r>
      <w:r w:rsidR="002C47CA" w:rsidRPr="004D1AC3">
        <w:rPr>
          <w:szCs w:val="24"/>
        </w:rPr>
        <w:t xml:space="preserve"> There is a path forward</w:t>
      </w:r>
      <w:r w:rsidR="00D41A24">
        <w:rPr>
          <w:szCs w:val="24"/>
        </w:rPr>
        <w:t>,</w:t>
      </w:r>
      <w:r w:rsidR="002C47CA" w:rsidRPr="004D1AC3">
        <w:rPr>
          <w:szCs w:val="24"/>
        </w:rPr>
        <w:t xml:space="preserve"> but to see it</w:t>
      </w:r>
      <w:r w:rsidR="00D41A24">
        <w:rPr>
          <w:szCs w:val="24"/>
        </w:rPr>
        <w:t>,</w:t>
      </w:r>
      <w:r w:rsidR="002C47CA" w:rsidRPr="004D1AC3">
        <w:rPr>
          <w:szCs w:val="24"/>
        </w:rPr>
        <w:t xml:space="preserve"> we have to look backwards.</w:t>
      </w:r>
      <w:r w:rsidR="00FA6AD0" w:rsidRPr="004D1AC3">
        <w:rPr>
          <w:szCs w:val="24"/>
        </w:rPr>
        <w:t xml:space="preserve"> We need to place</w:t>
      </w:r>
      <w:r w:rsidR="00167503" w:rsidRPr="004D1AC3">
        <w:rPr>
          <w:szCs w:val="24"/>
        </w:rPr>
        <w:t xml:space="preserve"> this case in </w:t>
      </w:r>
      <w:r w:rsidR="000B39FE">
        <w:rPr>
          <w:szCs w:val="24"/>
        </w:rPr>
        <w:t xml:space="preserve">a </w:t>
      </w:r>
      <w:r w:rsidR="00167503" w:rsidRPr="004D1AC3">
        <w:rPr>
          <w:szCs w:val="24"/>
        </w:rPr>
        <w:t xml:space="preserve">constitutional </w:t>
      </w:r>
      <w:r w:rsidR="00197654" w:rsidRPr="004D1AC3">
        <w:rPr>
          <w:szCs w:val="24"/>
        </w:rPr>
        <w:t xml:space="preserve">jurisprudential perspective. This is not an attractive task. But it is a reasonably simple </w:t>
      </w:r>
      <w:r w:rsidR="00271732" w:rsidRPr="004D1AC3">
        <w:rPr>
          <w:szCs w:val="24"/>
        </w:rPr>
        <w:t>one if we stick to some legal basics.</w:t>
      </w:r>
    </w:p>
    <w:p w14:paraId="723B82AE" w14:textId="77777777" w:rsidR="000730C6" w:rsidRDefault="000730C6" w:rsidP="000730C6">
      <w:pPr>
        <w:spacing w:line="240" w:lineRule="auto"/>
        <w:rPr>
          <w:szCs w:val="24"/>
        </w:rPr>
      </w:pPr>
    </w:p>
    <w:p w14:paraId="1D76B68E" w14:textId="2461AD3B" w:rsidR="002D4612" w:rsidRPr="004D1AC3" w:rsidRDefault="00257AA1" w:rsidP="000730C6">
      <w:pPr>
        <w:spacing w:line="240" w:lineRule="auto"/>
        <w:rPr>
          <w:szCs w:val="24"/>
        </w:rPr>
      </w:pPr>
      <w:r w:rsidRPr="004D1AC3">
        <w:rPr>
          <w:szCs w:val="24"/>
        </w:rPr>
        <w:t xml:space="preserve">The decision in </w:t>
      </w:r>
      <w:r w:rsidR="00974C42" w:rsidRPr="004D1AC3">
        <w:rPr>
          <w:i/>
          <w:iCs/>
          <w:szCs w:val="24"/>
        </w:rPr>
        <w:t xml:space="preserve">Casinos du </w:t>
      </w:r>
      <w:r w:rsidR="001F5858">
        <w:rPr>
          <w:i/>
          <w:iCs/>
          <w:szCs w:val="24"/>
        </w:rPr>
        <w:t>Québec</w:t>
      </w:r>
      <w:r w:rsidR="00974C42" w:rsidRPr="00773D2D">
        <w:rPr>
          <w:szCs w:val="24"/>
        </w:rPr>
        <w:t xml:space="preserve"> </w:t>
      </w:r>
      <w:r w:rsidR="00974C42" w:rsidRPr="004D1AC3">
        <w:rPr>
          <w:szCs w:val="24"/>
        </w:rPr>
        <w:t xml:space="preserve">is </w:t>
      </w:r>
      <w:r w:rsidRPr="004D1AC3">
        <w:rPr>
          <w:szCs w:val="24"/>
        </w:rPr>
        <w:t>structured</w:t>
      </w:r>
      <w:r w:rsidR="009C6E61">
        <w:rPr>
          <w:szCs w:val="24"/>
        </w:rPr>
        <w:t xml:space="preserve">, </w:t>
      </w:r>
      <w:r w:rsidR="00526638">
        <w:rPr>
          <w:szCs w:val="24"/>
        </w:rPr>
        <w:t>and as a result</w:t>
      </w:r>
      <w:r w:rsidR="001D2B64">
        <w:rPr>
          <w:szCs w:val="24"/>
        </w:rPr>
        <w:t>,</w:t>
      </w:r>
      <w:r w:rsidR="00526638">
        <w:rPr>
          <w:szCs w:val="24"/>
        </w:rPr>
        <w:t xml:space="preserve"> undermined by </w:t>
      </w:r>
      <w:r w:rsidR="002531C5">
        <w:rPr>
          <w:szCs w:val="24"/>
        </w:rPr>
        <w:t>some basic</w:t>
      </w:r>
      <w:r w:rsidR="000D6331">
        <w:rPr>
          <w:szCs w:val="24"/>
        </w:rPr>
        <w:t xml:space="preserve"> </w:t>
      </w:r>
      <w:r w:rsidR="00D63B6E" w:rsidRPr="004D1AC3">
        <w:rPr>
          <w:szCs w:val="24"/>
        </w:rPr>
        <w:t xml:space="preserve">and avoidable </w:t>
      </w:r>
      <w:r w:rsidR="00974C42" w:rsidRPr="004D1AC3">
        <w:rPr>
          <w:szCs w:val="24"/>
        </w:rPr>
        <w:t xml:space="preserve">legal </w:t>
      </w:r>
      <w:r w:rsidR="00AD4811" w:rsidRPr="004D1AC3">
        <w:rPr>
          <w:szCs w:val="24"/>
        </w:rPr>
        <w:t>mistakes</w:t>
      </w:r>
      <w:r w:rsidR="00311B2F" w:rsidRPr="004D1AC3">
        <w:rPr>
          <w:szCs w:val="24"/>
        </w:rPr>
        <w:t xml:space="preserve"> about Canadian constitutional labour law.</w:t>
      </w:r>
      <w:r w:rsidR="00D63B6E" w:rsidRPr="004D1AC3">
        <w:rPr>
          <w:szCs w:val="24"/>
        </w:rPr>
        <w:t xml:space="preserve"> </w:t>
      </w:r>
      <w:r w:rsidR="002C47CA" w:rsidRPr="004D1AC3">
        <w:rPr>
          <w:szCs w:val="24"/>
        </w:rPr>
        <w:t xml:space="preserve">Some of these are </w:t>
      </w:r>
      <w:r w:rsidR="002531C5">
        <w:rPr>
          <w:szCs w:val="24"/>
        </w:rPr>
        <w:t xml:space="preserve">just </w:t>
      </w:r>
      <w:r w:rsidR="0021355D" w:rsidRPr="004D1AC3">
        <w:rPr>
          <w:szCs w:val="24"/>
        </w:rPr>
        <w:t>jurisprudential</w:t>
      </w:r>
      <w:r w:rsidR="002C47CA" w:rsidRPr="004D1AC3">
        <w:rPr>
          <w:szCs w:val="24"/>
        </w:rPr>
        <w:t xml:space="preserve"> </w:t>
      </w:r>
      <w:r w:rsidR="00733C65" w:rsidRPr="004D1AC3">
        <w:rPr>
          <w:szCs w:val="24"/>
        </w:rPr>
        <w:t>missteps</w:t>
      </w:r>
      <w:r w:rsidR="0021355D" w:rsidRPr="004D1AC3">
        <w:rPr>
          <w:szCs w:val="24"/>
        </w:rPr>
        <w:t>. For example, t</w:t>
      </w:r>
      <w:r w:rsidR="001164AB" w:rsidRPr="004D1AC3">
        <w:rPr>
          <w:szCs w:val="24"/>
        </w:rPr>
        <w:t>he Court</w:t>
      </w:r>
      <w:r w:rsidR="00D63B6E" w:rsidRPr="004D1AC3">
        <w:rPr>
          <w:szCs w:val="24"/>
        </w:rPr>
        <w:t xml:space="preserve"> </w:t>
      </w:r>
      <w:r w:rsidR="002E7F45" w:rsidRPr="004D1AC3">
        <w:rPr>
          <w:szCs w:val="24"/>
        </w:rPr>
        <w:t>misunderstands</w:t>
      </w:r>
      <w:r w:rsidR="00D63B6E" w:rsidRPr="004D1AC3">
        <w:rPr>
          <w:szCs w:val="24"/>
        </w:rPr>
        <w:t xml:space="preserve"> the real legal issue </w:t>
      </w:r>
      <w:r w:rsidR="00F41398">
        <w:rPr>
          <w:szCs w:val="24"/>
        </w:rPr>
        <w:t xml:space="preserve">in </w:t>
      </w:r>
      <w:r w:rsidR="00262ECA">
        <w:rPr>
          <w:i/>
          <w:iCs/>
        </w:rPr>
        <w:t>C</w:t>
      </w:r>
      <w:r w:rsidR="00262ECA" w:rsidRPr="007A4305">
        <w:rPr>
          <w:i/>
          <w:iCs/>
        </w:rPr>
        <w:t>asinos du Québec</w:t>
      </w:r>
      <w:r w:rsidR="00D757EE" w:rsidRPr="00B045B0">
        <w:rPr>
          <w:rStyle w:val="FootnoteReference"/>
          <w:szCs w:val="24"/>
        </w:rPr>
        <w:footnoteReference w:id="37"/>
      </w:r>
      <w:r w:rsidR="00F41398">
        <w:rPr>
          <w:szCs w:val="24"/>
        </w:rPr>
        <w:t xml:space="preserve"> </w:t>
      </w:r>
      <w:r w:rsidR="000B577D" w:rsidRPr="004D1AC3">
        <w:rPr>
          <w:szCs w:val="24"/>
        </w:rPr>
        <w:t>b</w:t>
      </w:r>
      <w:r w:rsidR="00CC0968" w:rsidRPr="004D1AC3">
        <w:rPr>
          <w:szCs w:val="24"/>
        </w:rPr>
        <w:t>y confusing</w:t>
      </w:r>
      <w:r w:rsidR="000B577D" w:rsidRPr="004D1AC3">
        <w:rPr>
          <w:szCs w:val="24"/>
        </w:rPr>
        <w:t xml:space="preserve"> the distinction between “positive and negative</w:t>
      </w:r>
      <w:r w:rsidR="00B213F2" w:rsidRPr="004D1AC3">
        <w:rPr>
          <w:szCs w:val="24"/>
        </w:rPr>
        <w:t>”</w:t>
      </w:r>
      <w:r w:rsidR="000B577D" w:rsidRPr="004D1AC3">
        <w:rPr>
          <w:szCs w:val="24"/>
        </w:rPr>
        <w:t xml:space="preserve"> duties with the distinction between </w:t>
      </w:r>
      <w:r w:rsidR="00B213F2" w:rsidRPr="004D1AC3">
        <w:rPr>
          <w:szCs w:val="24"/>
        </w:rPr>
        <w:t>“</w:t>
      </w:r>
      <w:r w:rsidR="000B577D" w:rsidRPr="004D1AC3">
        <w:rPr>
          <w:szCs w:val="24"/>
        </w:rPr>
        <w:t xml:space="preserve">public and </w:t>
      </w:r>
      <w:r w:rsidR="00CC0968" w:rsidRPr="004D1AC3">
        <w:rPr>
          <w:szCs w:val="24"/>
        </w:rPr>
        <w:t>private</w:t>
      </w:r>
      <w:r w:rsidR="00B213F2" w:rsidRPr="004D1AC3">
        <w:rPr>
          <w:szCs w:val="24"/>
        </w:rPr>
        <w:t>”</w:t>
      </w:r>
      <w:r w:rsidR="00CC0968" w:rsidRPr="004D1AC3">
        <w:rPr>
          <w:szCs w:val="24"/>
        </w:rPr>
        <w:t xml:space="preserve"> actors.</w:t>
      </w:r>
      <w:r w:rsidR="00FA6AD0" w:rsidRPr="004D1AC3">
        <w:rPr>
          <w:rStyle w:val="FootnoteReference"/>
          <w:szCs w:val="24"/>
        </w:rPr>
        <w:footnoteReference w:id="38"/>
      </w:r>
      <w:r w:rsidR="00CC0968" w:rsidRPr="004D1AC3">
        <w:rPr>
          <w:szCs w:val="24"/>
        </w:rPr>
        <w:t xml:space="preserve"> </w:t>
      </w:r>
      <w:r w:rsidR="00DB4CC5" w:rsidRPr="004D1AC3">
        <w:rPr>
          <w:szCs w:val="24"/>
        </w:rPr>
        <w:t>As a result</w:t>
      </w:r>
      <w:r w:rsidR="00C37185">
        <w:rPr>
          <w:szCs w:val="24"/>
        </w:rPr>
        <w:t>,</w:t>
      </w:r>
      <w:r w:rsidR="00DB4CC5" w:rsidRPr="004D1AC3">
        <w:rPr>
          <w:szCs w:val="24"/>
        </w:rPr>
        <w:t xml:space="preserve"> i</w:t>
      </w:r>
      <w:r w:rsidR="001164AB" w:rsidRPr="004D1AC3">
        <w:rPr>
          <w:szCs w:val="24"/>
        </w:rPr>
        <w:t>t</w:t>
      </w:r>
      <w:r w:rsidR="00DB4CC5" w:rsidRPr="004D1AC3">
        <w:rPr>
          <w:szCs w:val="24"/>
        </w:rPr>
        <w:t xml:space="preserve"> fails to understand the origins of</w:t>
      </w:r>
      <w:r w:rsidR="00295BB6" w:rsidRPr="004D1AC3">
        <w:rPr>
          <w:szCs w:val="24"/>
        </w:rPr>
        <w:t>,</w:t>
      </w:r>
      <w:r w:rsidR="00DB4CC5" w:rsidRPr="004D1AC3">
        <w:rPr>
          <w:szCs w:val="24"/>
        </w:rPr>
        <w:t xml:space="preserve"> </w:t>
      </w:r>
      <w:r w:rsidR="00AE3C0C" w:rsidRPr="004D1AC3">
        <w:rPr>
          <w:szCs w:val="24"/>
        </w:rPr>
        <w:t>and</w:t>
      </w:r>
      <w:r w:rsidR="00295BB6" w:rsidRPr="004D1AC3">
        <w:rPr>
          <w:szCs w:val="24"/>
        </w:rPr>
        <w:t xml:space="preserve"> as a result</w:t>
      </w:r>
      <w:r w:rsidR="00C37185">
        <w:rPr>
          <w:szCs w:val="24"/>
        </w:rPr>
        <w:t>,</w:t>
      </w:r>
      <w:r w:rsidR="00AE3C0C" w:rsidRPr="004D1AC3">
        <w:rPr>
          <w:szCs w:val="24"/>
        </w:rPr>
        <w:t xml:space="preserve"> </w:t>
      </w:r>
      <w:r w:rsidR="00012CE8" w:rsidRPr="004D1AC3">
        <w:rPr>
          <w:szCs w:val="24"/>
        </w:rPr>
        <w:t>confirms</w:t>
      </w:r>
      <w:r w:rsidR="002E7F45" w:rsidRPr="004D1AC3">
        <w:rPr>
          <w:szCs w:val="24"/>
        </w:rPr>
        <w:t>, without any justific</w:t>
      </w:r>
      <w:r w:rsidR="00311B2F" w:rsidRPr="004D1AC3">
        <w:rPr>
          <w:szCs w:val="24"/>
        </w:rPr>
        <w:t>ation (because none is available)</w:t>
      </w:r>
      <w:r w:rsidR="00814646" w:rsidRPr="004D1AC3">
        <w:rPr>
          <w:szCs w:val="24"/>
        </w:rPr>
        <w:t>,</w:t>
      </w:r>
      <w:r w:rsidR="00311B2F" w:rsidRPr="004D1AC3">
        <w:rPr>
          <w:szCs w:val="24"/>
        </w:rPr>
        <w:t xml:space="preserve"> a </w:t>
      </w:r>
      <w:r w:rsidR="00FA35D3" w:rsidRPr="004D1AC3">
        <w:rPr>
          <w:szCs w:val="24"/>
        </w:rPr>
        <w:t xml:space="preserve">stricter </w:t>
      </w:r>
      <w:r w:rsidR="006D406E">
        <w:rPr>
          <w:szCs w:val="24"/>
        </w:rPr>
        <w:t xml:space="preserve">(“substantial interference”) </w:t>
      </w:r>
      <w:r w:rsidR="00311B2F" w:rsidRPr="004D1AC3">
        <w:rPr>
          <w:szCs w:val="24"/>
        </w:rPr>
        <w:t xml:space="preserve">test </w:t>
      </w:r>
      <w:r w:rsidR="00D63B6E" w:rsidRPr="004D1AC3">
        <w:rPr>
          <w:szCs w:val="24"/>
        </w:rPr>
        <w:t>for</w:t>
      </w:r>
      <w:r w:rsidR="00FF3784" w:rsidRPr="004D1AC3">
        <w:rPr>
          <w:szCs w:val="24"/>
        </w:rPr>
        <w:t xml:space="preserve"> </w:t>
      </w:r>
      <w:r w:rsidR="00AE3C0C" w:rsidRPr="004D1AC3">
        <w:rPr>
          <w:b/>
          <w:bCs/>
          <w:szCs w:val="24"/>
        </w:rPr>
        <w:t>all</w:t>
      </w:r>
      <w:r w:rsidR="00AE3C0C" w:rsidRPr="004D1AC3">
        <w:rPr>
          <w:szCs w:val="24"/>
        </w:rPr>
        <w:t xml:space="preserve"> </w:t>
      </w:r>
      <w:r w:rsidR="00CC0968" w:rsidRPr="004D1AC3">
        <w:rPr>
          <w:szCs w:val="24"/>
        </w:rPr>
        <w:t>violations</w:t>
      </w:r>
      <w:r w:rsidR="00FF3784" w:rsidRPr="004D1AC3">
        <w:rPr>
          <w:szCs w:val="24"/>
        </w:rPr>
        <w:t xml:space="preserve"> of </w:t>
      </w:r>
      <w:r w:rsidR="00890A49">
        <w:rPr>
          <w:szCs w:val="24"/>
        </w:rPr>
        <w:t xml:space="preserve">s. </w:t>
      </w:r>
      <w:r w:rsidR="00FF3784" w:rsidRPr="004D1AC3">
        <w:rPr>
          <w:szCs w:val="24"/>
        </w:rPr>
        <w:t>2(d)</w:t>
      </w:r>
      <w:r w:rsidR="00FA35D3" w:rsidRPr="004D1AC3">
        <w:rPr>
          <w:szCs w:val="24"/>
        </w:rPr>
        <w:t xml:space="preserve"> (as opposed to other freedoms such as freedom of speech)</w:t>
      </w:r>
      <w:r w:rsidR="001164AB" w:rsidRPr="004D1AC3">
        <w:rPr>
          <w:szCs w:val="24"/>
        </w:rPr>
        <w:t>. This</w:t>
      </w:r>
      <w:r w:rsidR="00FF3784" w:rsidRPr="004D1AC3">
        <w:rPr>
          <w:szCs w:val="24"/>
        </w:rPr>
        <w:t xml:space="preserve"> relegates </w:t>
      </w:r>
      <w:r w:rsidR="00814646" w:rsidRPr="004D1AC3">
        <w:rPr>
          <w:szCs w:val="24"/>
        </w:rPr>
        <w:t>our</w:t>
      </w:r>
      <w:r w:rsidR="00FF3784" w:rsidRPr="004D1AC3">
        <w:rPr>
          <w:szCs w:val="24"/>
        </w:rPr>
        <w:t xml:space="preserve"> </w:t>
      </w:r>
      <w:r w:rsidR="00CC0968" w:rsidRPr="004D1AC3">
        <w:rPr>
          <w:szCs w:val="24"/>
        </w:rPr>
        <w:t xml:space="preserve">constitutional freedom </w:t>
      </w:r>
      <w:r w:rsidR="004E38FE" w:rsidRPr="004D1AC3">
        <w:rPr>
          <w:szCs w:val="24"/>
        </w:rPr>
        <w:t xml:space="preserve">of association </w:t>
      </w:r>
      <w:r w:rsidR="00CC0968" w:rsidRPr="004D1AC3">
        <w:rPr>
          <w:szCs w:val="24"/>
        </w:rPr>
        <w:t xml:space="preserve">to a </w:t>
      </w:r>
      <w:r w:rsidR="00742043" w:rsidRPr="004D1AC3">
        <w:rPr>
          <w:szCs w:val="24"/>
        </w:rPr>
        <w:t>second-class</w:t>
      </w:r>
      <w:r w:rsidR="00CC0968" w:rsidRPr="004D1AC3">
        <w:rPr>
          <w:szCs w:val="24"/>
        </w:rPr>
        <w:t xml:space="preserve"> status (some freedoms are now clearly more fundamental than others, despite what the </w:t>
      </w:r>
      <w:r w:rsidR="00CC0968" w:rsidRPr="00140063">
        <w:rPr>
          <w:i/>
          <w:iCs/>
          <w:szCs w:val="24"/>
        </w:rPr>
        <w:t>Charter</w:t>
      </w:r>
      <w:r w:rsidR="00CC0968" w:rsidRPr="004D1AC3">
        <w:rPr>
          <w:szCs w:val="24"/>
        </w:rPr>
        <w:t xml:space="preserve"> says).</w:t>
      </w:r>
      <w:r w:rsidR="004750A2">
        <w:rPr>
          <w:rStyle w:val="FootnoteReference"/>
          <w:szCs w:val="24"/>
        </w:rPr>
        <w:footnoteReference w:id="39"/>
      </w:r>
    </w:p>
    <w:p w14:paraId="481AE346" w14:textId="7B994C04" w:rsidR="000730C6" w:rsidRDefault="000730C6" w:rsidP="000730C6">
      <w:pPr>
        <w:spacing w:line="240" w:lineRule="auto"/>
        <w:rPr>
          <w:szCs w:val="24"/>
        </w:rPr>
      </w:pPr>
    </w:p>
    <w:p w14:paraId="091296E7" w14:textId="0F1BB263" w:rsidR="00355A6D" w:rsidRPr="004D1AC3" w:rsidRDefault="00B86F33" w:rsidP="000730C6">
      <w:pPr>
        <w:spacing w:line="240" w:lineRule="auto"/>
        <w:rPr>
          <w:szCs w:val="24"/>
        </w:rPr>
      </w:pPr>
      <w:r w:rsidRPr="004D1AC3">
        <w:rPr>
          <w:szCs w:val="24"/>
        </w:rPr>
        <w:t xml:space="preserve">Central to these rather </w:t>
      </w:r>
      <w:r w:rsidR="006D406E">
        <w:rPr>
          <w:szCs w:val="24"/>
        </w:rPr>
        <w:t>di</w:t>
      </w:r>
      <w:r w:rsidR="001666A2">
        <w:rPr>
          <w:szCs w:val="24"/>
        </w:rPr>
        <w:t>sappoint</w:t>
      </w:r>
      <w:r w:rsidR="003D7123">
        <w:rPr>
          <w:szCs w:val="24"/>
        </w:rPr>
        <w:t>ing</w:t>
      </w:r>
      <w:r w:rsidR="001666A2">
        <w:rPr>
          <w:szCs w:val="24"/>
        </w:rPr>
        <w:t xml:space="preserve">, if not </w:t>
      </w:r>
      <w:r w:rsidRPr="004D1AC3">
        <w:rPr>
          <w:szCs w:val="24"/>
        </w:rPr>
        <w:t>shocking</w:t>
      </w:r>
      <w:r w:rsidR="001666A2">
        <w:rPr>
          <w:szCs w:val="24"/>
        </w:rPr>
        <w:t>,</w:t>
      </w:r>
      <w:r w:rsidRPr="004D1AC3">
        <w:rPr>
          <w:szCs w:val="24"/>
        </w:rPr>
        <w:t xml:space="preserve"> points is the fact that the </w:t>
      </w:r>
      <w:r w:rsidRPr="007C243E">
        <w:rPr>
          <w:i/>
          <w:iCs/>
          <w:szCs w:val="24"/>
        </w:rPr>
        <w:t>Casinos</w:t>
      </w:r>
      <w:r w:rsidRPr="007C243E">
        <w:rPr>
          <w:szCs w:val="24"/>
        </w:rPr>
        <w:t xml:space="preserve"> </w:t>
      </w:r>
      <w:r w:rsidRPr="004D1AC3">
        <w:rPr>
          <w:szCs w:val="24"/>
        </w:rPr>
        <w:t xml:space="preserve">decision seeks to </w:t>
      </w:r>
      <w:r w:rsidR="00046F82" w:rsidRPr="004D1AC3">
        <w:rPr>
          <w:szCs w:val="24"/>
        </w:rPr>
        <w:t>place</w:t>
      </w:r>
      <w:r w:rsidR="006A3CF5" w:rsidRPr="004D1AC3">
        <w:rPr>
          <w:szCs w:val="24"/>
        </w:rPr>
        <w:t xml:space="preserve"> all of our constitutional </w:t>
      </w:r>
      <w:r w:rsidR="005A47AC" w:rsidRPr="004D1AC3">
        <w:rPr>
          <w:szCs w:val="24"/>
        </w:rPr>
        <w:t xml:space="preserve">labour </w:t>
      </w:r>
      <w:r w:rsidR="006A3CF5" w:rsidRPr="004D1AC3">
        <w:rPr>
          <w:szCs w:val="24"/>
        </w:rPr>
        <w:t>law of</w:t>
      </w:r>
      <w:r w:rsidR="005A47AC" w:rsidRPr="004D1AC3">
        <w:rPr>
          <w:szCs w:val="24"/>
        </w:rPr>
        <w:t xml:space="preserve"> freedom of association</w:t>
      </w:r>
      <w:r w:rsidR="008038F6" w:rsidRPr="004D1AC3">
        <w:rPr>
          <w:szCs w:val="24"/>
        </w:rPr>
        <w:t xml:space="preserve"> on a single foundation</w:t>
      </w:r>
      <w:r w:rsidR="0086660C" w:rsidRPr="004D1AC3">
        <w:rPr>
          <w:szCs w:val="24"/>
        </w:rPr>
        <w:t xml:space="preserve"> </w:t>
      </w:r>
      <w:r w:rsidR="006A2F13" w:rsidRPr="00366C05">
        <w:rPr>
          <w:szCs w:val="24"/>
        </w:rPr>
        <w:t>—</w:t>
      </w:r>
      <w:r w:rsidR="0086660C" w:rsidRPr="004D1AC3">
        <w:rPr>
          <w:szCs w:val="24"/>
        </w:rPr>
        <w:t xml:space="preserve"> the foundation of the </w:t>
      </w:r>
      <w:r w:rsidR="00942886" w:rsidRPr="004D1AC3">
        <w:rPr>
          <w:szCs w:val="24"/>
        </w:rPr>
        <w:t xml:space="preserve">2001 </w:t>
      </w:r>
      <w:r w:rsidR="008038F6" w:rsidRPr="004D1AC3">
        <w:rPr>
          <w:szCs w:val="24"/>
        </w:rPr>
        <w:t>decision</w:t>
      </w:r>
      <w:r w:rsidR="00942886" w:rsidRPr="004D1AC3">
        <w:rPr>
          <w:szCs w:val="24"/>
        </w:rPr>
        <w:t xml:space="preserve"> </w:t>
      </w:r>
      <w:r w:rsidR="008038F6" w:rsidRPr="004D1AC3">
        <w:rPr>
          <w:szCs w:val="24"/>
        </w:rPr>
        <w:t>of</w:t>
      </w:r>
      <w:r w:rsidR="00942886" w:rsidRPr="004D1AC3">
        <w:rPr>
          <w:szCs w:val="24"/>
        </w:rPr>
        <w:t xml:space="preserve"> the Court in </w:t>
      </w:r>
      <w:r w:rsidR="0086660C" w:rsidRPr="004D1AC3">
        <w:rPr>
          <w:i/>
          <w:iCs/>
          <w:szCs w:val="24"/>
        </w:rPr>
        <w:t>Dunmore</w:t>
      </w:r>
      <w:r w:rsidR="000E3645" w:rsidRPr="00F41FC9">
        <w:rPr>
          <w:i/>
          <w:iCs/>
        </w:rPr>
        <w:t xml:space="preserve"> v Ontario (AG)</w:t>
      </w:r>
      <w:r w:rsidR="00942886" w:rsidRPr="004D1AC3">
        <w:rPr>
          <w:i/>
          <w:iCs/>
          <w:szCs w:val="24"/>
        </w:rPr>
        <w:t>.</w:t>
      </w:r>
      <w:bookmarkStart w:id="14" w:name="_Ref178273971"/>
      <w:r w:rsidR="00942886" w:rsidRPr="006A2F13">
        <w:rPr>
          <w:rStyle w:val="FootnoteReference"/>
          <w:szCs w:val="24"/>
        </w:rPr>
        <w:footnoteReference w:id="40"/>
      </w:r>
      <w:bookmarkEnd w:id="14"/>
      <w:r w:rsidR="00DB4CC5" w:rsidRPr="004D1AC3">
        <w:rPr>
          <w:i/>
          <w:iCs/>
          <w:szCs w:val="24"/>
        </w:rPr>
        <w:t xml:space="preserve"> </w:t>
      </w:r>
      <w:r w:rsidR="008038F6" w:rsidRPr="004D1AC3">
        <w:rPr>
          <w:szCs w:val="24"/>
        </w:rPr>
        <w:t>This</w:t>
      </w:r>
      <w:r w:rsidR="00E372EC" w:rsidRPr="004D1AC3">
        <w:rPr>
          <w:szCs w:val="24"/>
        </w:rPr>
        <w:t xml:space="preserve"> presents</w:t>
      </w:r>
      <w:r w:rsidR="008038F6" w:rsidRPr="004D1AC3">
        <w:rPr>
          <w:szCs w:val="24"/>
        </w:rPr>
        <w:t xml:space="preserve"> a very serious </w:t>
      </w:r>
      <w:r w:rsidR="00EC1A09" w:rsidRPr="004D1AC3">
        <w:rPr>
          <w:szCs w:val="24"/>
        </w:rPr>
        <w:t xml:space="preserve">problem for our law going forward. </w:t>
      </w:r>
      <w:r w:rsidR="00046F82" w:rsidRPr="004D1AC3">
        <w:rPr>
          <w:szCs w:val="24"/>
        </w:rPr>
        <w:t>This is because w</w:t>
      </w:r>
      <w:r w:rsidR="00E372EC" w:rsidRPr="004D1AC3">
        <w:rPr>
          <w:szCs w:val="24"/>
        </w:rPr>
        <w:t xml:space="preserve">e have in </w:t>
      </w:r>
      <w:r w:rsidR="006A2F13" w:rsidRPr="004D1AC3">
        <w:rPr>
          <w:szCs w:val="24"/>
        </w:rPr>
        <w:t>Canada two</w:t>
      </w:r>
      <w:r w:rsidR="00705B81" w:rsidRPr="004D1AC3">
        <w:rPr>
          <w:szCs w:val="24"/>
        </w:rPr>
        <w:t xml:space="preserve"> basic sorts of freedom of association cases, not one.</w:t>
      </w:r>
      <w:r w:rsidR="0051241C" w:rsidRPr="004D1AC3">
        <w:rPr>
          <w:szCs w:val="24"/>
        </w:rPr>
        <w:t xml:space="preserve"> </w:t>
      </w:r>
      <w:r w:rsidR="00BF1C5F">
        <w:rPr>
          <w:szCs w:val="24"/>
        </w:rPr>
        <w:t xml:space="preserve">They present very different constitutional issues. </w:t>
      </w:r>
      <w:r w:rsidR="00624622">
        <w:rPr>
          <w:szCs w:val="24"/>
        </w:rPr>
        <w:t xml:space="preserve">They have different legal structures. </w:t>
      </w:r>
      <w:r w:rsidR="00046F82" w:rsidRPr="004D1AC3">
        <w:rPr>
          <w:szCs w:val="24"/>
        </w:rPr>
        <w:t xml:space="preserve">They do not rest on a single </w:t>
      </w:r>
      <w:bookmarkStart w:id="15" w:name="_Ref178274529"/>
      <w:r w:rsidR="00C76E85" w:rsidRPr="004D1AC3">
        <w:rPr>
          <w:szCs w:val="24"/>
        </w:rPr>
        <w:t>foundation.</w:t>
      </w:r>
      <w:r w:rsidR="00D901C6" w:rsidRPr="004D1AC3">
        <w:rPr>
          <w:rStyle w:val="FootnoteReference"/>
          <w:szCs w:val="24"/>
        </w:rPr>
        <w:footnoteReference w:id="41"/>
      </w:r>
      <w:bookmarkEnd w:id="15"/>
      <w:r w:rsidR="000950D4" w:rsidRPr="004D1AC3">
        <w:rPr>
          <w:szCs w:val="24"/>
        </w:rPr>
        <w:t xml:space="preserve"> </w:t>
      </w:r>
    </w:p>
    <w:p w14:paraId="4878462B" w14:textId="5FEF03A8" w:rsidR="000730C6" w:rsidRDefault="000730C6" w:rsidP="000730C6">
      <w:pPr>
        <w:spacing w:line="240" w:lineRule="auto"/>
        <w:rPr>
          <w:szCs w:val="24"/>
        </w:rPr>
      </w:pPr>
    </w:p>
    <w:p w14:paraId="498746FE" w14:textId="292B0C7E" w:rsidR="004135DB" w:rsidRPr="004D1AC3" w:rsidRDefault="00431D87" w:rsidP="000730C6">
      <w:pPr>
        <w:spacing w:line="240" w:lineRule="auto"/>
        <w:rPr>
          <w:szCs w:val="24"/>
        </w:rPr>
      </w:pPr>
      <w:r w:rsidRPr="004D1AC3">
        <w:rPr>
          <w:szCs w:val="24"/>
        </w:rPr>
        <w:lastRenderedPageBreak/>
        <w:t>Some of our constitutional cases involve the state itself “taking a bat to” freedom of association</w:t>
      </w:r>
      <w:r w:rsidR="00537261" w:rsidRPr="004D1AC3">
        <w:rPr>
          <w:szCs w:val="24"/>
        </w:rPr>
        <w:t xml:space="preserve"> as in the </w:t>
      </w:r>
      <w:r w:rsidR="006C1212" w:rsidRPr="004D1AC3">
        <w:rPr>
          <w:szCs w:val="24"/>
        </w:rPr>
        <w:t>(</w:t>
      </w:r>
      <w:r w:rsidR="002434DB" w:rsidRPr="004D1AC3">
        <w:rPr>
          <w:szCs w:val="24"/>
        </w:rPr>
        <w:t xml:space="preserve">constitutionally </w:t>
      </w:r>
      <w:r w:rsidR="00537261" w:rsidRPr="004D1AC3">
        <w:rPr>
          <w:szCs w:val="24"/>
        </w:rPr>
        <w:t>inexplicable</w:t>
      </w:r>
      <w:r w:rsidR="002434DB" w:rsidRPr="004D1AC3">
        <w:rPr>
          <w:szCs w:val="24"/>
        </w:rPr>
        <w:t>, given the</w:t>
      </w:r>
      <w:r w:rsidR="00537261" w:rsidRPr="004D1AC3">
        <w:rPr>
          <w:szCs w:val="24"/>
        </w:rPr>
        <w:t xml:space="preserve"> </w:t>
      </w:r>
      <w:r w:rsidR="00B06143">
        <w:rPr>
          <w:i/>
          <w:iCs/>
          <w:kern w:val="0"/>
          <w14:ligatures w14:val="none"/>
        </w:rPr>
        <w:t>Saskatchewan Federation of Labour v Saskatchewan</w:t>
      </w:r>
      <w:r w:rsidR="00F055DB">
        <w:rPr>
          <w:rStyle w:val="FootnoteReference"/>
          <w:szCs w:val="24"/>
        </w:rPr>
        <w:footnoteReference w:id="42"/>
      </w:r>
      <w:r w:rsidR="00537261" w:rsidRPr="004D1AC3">
        <w:rPr>
          <w:szCs w:val="24"/>
        </w:rPr>
        <w:t xml:space="preserve"> decision</w:t>
      </w:r>
      <w:r w:rsidR="006C1212" w:rsidRPr="004D1AC3">
        <w:rPr>
          <w:szCs w:val="24"/>
        </w:rPr>
        <w:t xml:space="preserve">) </w:t>
      </w:r>
      <w:r w:rsidR="002434DB" w:rsidRPr="004D1AC3">
        <w:rPr>
          <w:szCs w:val="24"/>
        </w:rPr>
        <w:t xml:space="preserve">recent </w:t>
      </w:r>
      <w:r w:rsidR="006C1212" w:rsidRPr="004D1AC3">
        <w:rPr>
          <w:szCs w:val="24"/>
        </w:rPr>
        <w:t xml:space="preserve">flurry of </w:t>
      </w:r>
      <w:r w:rsidR="002434DB" w:rsidRPr="004D1AC3">
        <w:rPr>
          <w:szCs w:val="24"/>
        </w:rPr>
        <w:t>“</w:t>
      </w:r>
      <w:r w:rsidR="006C1212" w:rsidRPr="004D1AC3">
        <w:rPr>
          <w:szCs w:val="24"/>
        </w:rPr>
        <w:t>back to work</w:t>
      </w:r>
      <w:r w:rsidR="002434DB" w:rsidRPr="004D1AC3">
        <w:rPr>
          <w:szCs w:val="24"/>
        </w:rPr>
        <w:t>”</w:t>
      </w:r>
      <w:r w:rsidR="006C1212" w:rsidRPr="004D1AC3">
        <w:rPr>
          <w:szCs w:val="24"/>
        </w:rPr>
        <w:t xml:space="preserve"> laws. Or the “restraint” line of cases.</w:t>
      </w:r>
      <w:r w:rsidR="00665F8D" w:rsidRPr="004D1AC3">
        <w:rPr>
          <w:rStyle w:val="FootnoteReference"/>
          <w:szCs w:val="24"/>
        </w:rPr>
        <w:footnoteReference w:id="43"/>
      </w:r>
      <w:r w:rsidR="006C1212" w:rsidRPr="004D1AC3">
        <w:rPr>
          <w:szCs w:val="24"/>
        </w:rPr>
        <w:t xml:space="preserve"> </w:t>
      </w:r>
      <w:r w:rsidR="004135DB" w:rsidRPr="004D1AC3">
        <w:rPr>
          <w:szCs w:val="24"/>
        </w:rPr>
        <w:t>Challenges to such laws</w:t>
      </w:r>
      <w:r w:rsidR="00E45B5A" w:rsidRPr="004D1AC3">
        <w:rPr>
          <w:szCs w:val="24"/>
        </w:rPr>
        <w:t xml:space="preserve"> </w:t>
      </w:r>
      <w:r w:rsidR="00677874" w:rsidRPr="004D1AC3">
        <w:rPr>
          <w:szCs w:val="24"/>
        </w:rPr>
        <w:t xml:space="preserve">involve </w:t>
      </w:r>
      <w:r w:rsidR="00A8238D" w:rsidRPr="004D1AC3">
        <w:rPr>
          <w:szCs w:val="24"/>
        </w:rPr>
        <w:t xml:space="preserve">simple and </w:t>
      </w:r>
      <w:r w:rsidR="00E45B5A" w:rsidRPr="004D1AC3">
        <w:rPr>
          <w:szCs w:val="24"/>
        </w:rPr>
        <w:t>pure “vertical”</w:t>
      </w:r>
      <w:r w:rsidR="00E669D4" w:rsidRPr="004D1AC3">
        <w:rPr>
          <w:szCs w:val="24"/>
        </w:rPr>
        <w:t xml:space="preserve"> </w:t>
      </w:r>
      <w:r w:rsidR="006A2F13" w:rsidRPr="00366C05">
        <w:rPr>
          <w:szCs w:val="24"/>
        </w:rPr>
        <w:t>—</w:t>
      </w:r>
      <w:r w:rsidR="00E669D4" w:rsidRPr="004D1AC3">
        <w:rPr>
          <w:szCs w:val="24"/>
        </w:rPr>
        <w:t xml:space="preserve"> </w:t>
      </w:r>
      <w:r w:rsidR="006A2F13" w:rsidRPr="004D1AC3">
        <w:rPr>
          <w:szCs w:val="24"/>
        </w:rPr>
        <w:t>i.e.</w:t>
      </w:r>
      <w:r w:rsidR="00E669D4" w:rsidRPr="004D1AC3">
        <w:rPr>
          <w:szCs w:val="24"/>
        </w:rPr>
        <w:t xml:space="preserve"> state to citizen </w:t>
      </w:r>
      <w:r w:rsidR="00B13890" w:rsidRPr="00366C05">
        <w:rPr>
          <w:szCs w:val="24"/>
        </w:rPr>
        <w:t>—</w:t>
      </w:r>
      <w:r w:rsidR="00E669D4" w:rsidRPr="004D1AC3">
        <w:rPr>
          <w:szCs w:val="24"/>
        </w:rPr>
        <w:t xml:space="preserve"> </w:t>
      </w:r>
      <w:r w:rsidR="00E45B5A" w:rsidRPr="004D1AC3">
        <w:rPr>
          <w:szCs w:val="24"/>
        </w:rPr>
        <w:t xml:space="preserve">application of the </w:t>
      </w:r>
      <w:r w:rsidR="00F60A6A" w:rsidRPr="00140063">
        <w:rPr>
          <w:i/>
          <w:iCs/>
          <w:szCs w:val="24"/>
        </w:rPr>
        <w:t>C</w:t>
      </w:r>
      <w:r w:rsidR="00E45B5A" w:rsidRPr="00140063">
        <w:rPr>
          <w:i/>
          <w:iCs/>
          <w:szCs w:val="24"/>
        </w:rPr>
        <w:t>harter</w:t>
      </w:r>
      <w:r w:rsidR="00D901C6" w:rsidRPr="004D1AC3">
        <w:rPr>
          <w:szCs w:val="24"/>
        </w:rPr>
        <w:t xml:space="preserve">. </w:t>
      </w:r>
      <w:r w:rsidR="008E659B" w:rsidRPr="004D1AC3">
        <w:rPr>
          <w:szCs w:val="24"/>
        </w:rPr>
        <w:t>We need the state to lay off the freedom.</w:t>
      </w:r>
      <w:r w:rsidR="00E45B5A" w:rsidRPr="004D1AC3">
        <w:rPr>
          <w:szCs w:val="24"/>
        </w:rPr>
        <w:t xml:space="preserve"> </w:t>
      </w:r>
    </w:p>
    <w:p w14:paraId="50395666" w14:textId="6F6C2CEE" w:rsidR="000730C6" w:rsidRDefault="000730C6" w:rsidP="000730C6">
      <w:pPr>
        <w:spacing w:line="240" w:lineRule="auto"/>
        <w:rPr>
          <w:szCs w:val="24"/>
        </w:rPr>
      </w:pPr>
    </w:p>
    <w:p w14:paraId="25474DE8" w14:textId="0E1406BF" w:rsidR="00877BBD" w:rsidRPr="004D1AC3" w:rsidRDefault="000526F1" w:rsidP="000730C6">
      <w:pPr>
        <w:spacing w:line="240" w:lineRule="auto"/>
        <w:rPr>
          <w:szCs w:val="24"/>
        </w:rPr>
      </w:pPr>
      <w:r w:rsidRPr="004D1AC3">
        <w:rPr>
          <w:szCs w:val="24"/>
        </w:rPr>
        <w:t>Other cases have a very different legal structure. The</w:t>
      </w:r>
      <w:r w:rsidR="00295BB6" w:rsidRPr="004D1AC3">
        <w:rPr>
          <w:szCs w:val="24"/>
        </w:rPr>
        <w:t>y are</w:t>
      </w:r>
      <w:r w:rsidR="00E372EC" w:rsidRPr="004D1AC3">
        <w:rPr>
          <w:szCs w:val="24"/>
        </w:rPr>
        <w:t xml:space="preserve"> cases in which workers </w:t>
      </w:r>
      <w:r w:rsidR="008D4095" w:rsidRPr="004D1AC3">
        <w:rPr>
          <w:szCs w:val="24"/>
        </w:rPr>
        <w:t>claim that the state must “go to bat for” for the freedom</w:t>
      </w:r>
      <w:r w:rsidR="00E669D4" w:rsidRPr="004D1AC3">
        <w:rPr>
          <w:szCs w:val="24"/>
        </w:rPr>
        <w:t xml:space="preserve"> by </w:t>
      </w:r>
      <w:r w:rsidR="00A8238D" w:rsidRPr="004D1AC3">
        <w:rPr>
          <w:szCs w:val="24"/>
        </w:rPr>
        <w:t>creating “derivative” right</w:t>
      </w:r>
      <w:r w:rsidR="001D19A5" w:rsidRPr="004D1AC3">
        <w:rPr>
          <w:szCs w:val="24"/>
        </w:rPr>
        <w:t>s for workers</w:t>
      </w:r>
      <w:r w:rsidR="00F60A6A" w:rsidRPr="004D1AC3">
        <w:rPr>
          <w:szCs w:val="24"/>
        </w:rPr>
        <w:t>,</w:t>
      </w:r>
      <w:r w:rsidR="001D19A5" w:rsidRPr="004D1AC3">
        <w:rPr>
          <w:szCs w:val="24"/>
        </w:rPr>
        <w:t xml:space="preserve"> not against the state but against other private actors </w:t>
      </w:r>
      <w:r w:rsidR="006A2F13" w:rsidRPr="00366C05">
        <w:rPr>
          <w:szCs w:val="24"/>
        </w:rPr>
        <w:t>—</w:t>
      </w:r>
      <w:r w:rsidR="001D19A5" w:rsidRPr="004D1AC3">
        <w:rPr>
          <w:szCs w:val="24"/>
        </w:rPr>
        <w:t xml:space="preserve"> </w:t>
      </w:r>
      <w:r w:rsidR="006A2F13" w:rsidRPr="004D1AC3">
        <w:rPr>
          <w:szCs w:val="24"/>
        </w:rPr>
        <w:t>i.e.</w:t>
      </w:r>
      <w:r w:rsidR="001D19A5" w:rsidRPr="004D1AC3">
        <w:rPr>
          <w:szCs w:val="24"/>
        </w:rPr>
        <w:t xml:space="preserve"> employers.</w:t>
      </w:r>
      <w:r w:rsidR="008B158E" w:rsidRPr="004D1AC3">
        <w:rPr>
          <w:szCs w:val="24"/>
        </w:rPr>
        <w:t xml:space="preserve"> The object is to get </w:t>
      </w:r>
      <w:r w:rsidR="00B40124">
        <w:rPr>
          <w:szCs w:val="24"/>
        </w:rPr>
        <w:t xml:space="preserve">the state to get </w:t>
      </w:r>
      <w:r w:rsidR="008B158E" w:rsidRPr="004D1AC3">
        <w:rPr>
          <w:szCs w:val="24"/>
        </w:rPr>
        <w:t>employers to lay off the freedom.</w:t>
      </w:r>
      <w:r w:rsidR="001D19A5" w:rsidRPr="004D1AC3">
        <w:rPr>
          <w:szCs w:val="24"/>
        </w:rPr>
        <w:t xml:space="preserve"> </w:t>
      </w:r>
      <w:r w:rsidR="002602C6" w:rsidRPr="004D1AC3">
        <w:rPr>
          <w:szCs w:val="24"/>
        </w:rPr>
        <w:t xml:space="preserve">The most basic of these derivative rights </w:t>
      </w:r>
      <w:r w:rsidR="006A2F13" w:rsidRPr="00366C05">
        <w:rPr>
          <w:szCs w:val="24"/>
        </w:rPr>
        <w:t>—</w:t>
      </w:r>
      <w:r w:rsidR="002602C6" w:rsidRPr="004D1AC3">
        <w:rPr>
          <w:szCs w:val="24"/>
        </w:rPr>
        <w:t xml:space="preserve"> the right not to be fired fo</w:t>
      </w:r>
      <w:r w:rsidR="00EE1971" w:rsidRPr="004D1AC3">
        <w:rPr>
          <w:szCs w:val="24"/>
        </w:rPr>
        <w:t xml:space="preserve">r freely associating </w:t>
      </w:r>
      <w:r w:rsidR="006A2F13" w:rsidRPr="00366C05">
        <w:rPr>
          <w:szCs w:val="24"/>
        </w:rPr>
        <w:t>—</w:t>
      </w:r>
      <w:r w:rsidR="00EE1971" w:rsidRPr="004D1AC3">
        <w:rPr>
          <w:szCs w:val="24"/>
        </w:rPr>
        <w:t xml:space="preserve"> is what was in issue in </w:t>
      </w:r>
      <w:r w:rsidR="00EE1971" w:rsidRPr="004D1AC3">
        <w:rPr>
          <w:i/>
          <w:iCs/>
          <w:szCs w:val="24"/>
        </w:rPr>
        <w:t>Dunmore.</w:t>
      </w:r>
      <w:r w:rsidR="00995F0F" w:rsidRPr="00995F0F">
        <w:rPr>
          <w:rStyle w:val="FootnoteReference"/>
          <w:szCs w:val="24"/>
        </w:rPr>
        <w:footnoteReference w:id="44"/>
      </w:r>
      <w:r w:rsidR="00EE1971" w:rsidRPr="004D1AC3">
        <w:rPr>
          <w:i/>
          <w:iCs/>
          <w:szCs w:val="24"/>
        </w:rPr>
        <w:t xml:space="preserve"> </w:t>
      </w:r>
      <w:r w:rsidR="001D19A5" w:rsidRPr="004D1AC3">
        <w:rPr>
          <w:szCs w:val="24"/>
        </w:rPr>
        <w:t xml:space="preserve">This is not vertical application of the </w:t>
      </w:r>
      <w:r w:rsidR="001D19A5" w:rsidRPr="00140063">
        <w:rPr>
          <w:i/>
          <w:iCs/>
          <w:szCs w:val="24"/>
        </w:rPr>
        <w:t>Charter</w:t>
      </w:r>
      <w:r w:rsidR="001D19A5" w:rsidRPr="004D1AC3">
        <w:rPr>
          <w:szCs w:val="24"/>
        </w:rPr>
        <w:t>.</w:t>
      </w:r>
      <w:r w:rsidR="00295BB6" w:rsidRPr="004D1AC3">
        <w:rPr>
          <w:szCs w:val="24"/>
        </w:rPr>
        <w:t xml:space="preserve"> </w:t>
      </w:r>
      <w:r w:rsidR="002602C6" w:rsidRPr="004D1AC3">
        <w:rPr>
          <w:szCs w:val="24"/>
        </w:rPr>
        <w:t>It is</w:t>
      </w:r>
      <w:r w:rsidR="00EE1971" w:rsidRPr="004D1AC3">
        <w:rPr>
          <w:szCs w:val="24"/>
        </w:rPr>
        <w:t>,</w:t>
      </w:r>
      <w:r w:rsidR="002602C6" w:rsidRPr="004D1AC3">
        <w:rPr>
          <w:szCs w:val="24"/>
        </w:rPr>
        <w:t xml:space="preserve"> in principle</w:t>
      </w:r>
      <w:r w:rsidR="00EE1971" w:rsidRPr="004D1AC3">
        <w:rPr>
          <w:szCs w:val="24"/>
        </w:rPr>
        <w:t>,</w:t>
      </w:r>
      <w:r w:rsidR="002602C6" w:rsidRPr="004D1AC3">
        <w:rPr>
          <w:szCs w:val="24"/>
        </w:rPr>
        <w:t xml:space="preserve"> “horizontal</w:t>
      </w:r>
      <w:r w:rsidR="00EE1971" w:rsidRPr="004D1AC3">
        <w:rPr>
          <w:szCs w:val="24"/>
        </w:rPr>
        <w:t>” (citizen-citizen</w:t>
      </w:r>
      <w:r w:rsidR="00DB28F6" w:rsidRPr="004D1AC3">
        <w:rPr>
          <w:szCs w:val="24"/>
        </w:rPr>
        <w:t xml:space="preserve">) application. But, due to other </w:t>
      </w:r>
      <w:r w:rsidR="00C944CF" w:rsidRPr="004D1AC3">
        <w:rPr>
          <w:szCs w:val="24"/>
        </w:rPr>
        <w:t>holdings of our Court, we are not permi</w:t>
      </w:r>
      <w:r w:rsidR="00AE33AB" w:rsidRPr="004D1AC3">
        <w:rPr>
          <w:szCs w:val="24"/>
        </w:rPr>
        <w:t>tted to proceed in this manner.</w:t>
      </w:r>
      <w:r w:rsidR="006E7555" w:rsidRPr="004D1AC3">
        <w:rPr>
          <w:rStyle w:val="FootnoteReference"/>
          <w:szCs w:val="24"/>
        </w:rPr>
        <w:footnoteReference w:id="45"/>
      </w:r>
      <w:r w:rsidR="00AE33AB" w:rsidRPr="004D1AC3">
        <w:rPr>
          <w:szCs w:val="24"/>
        </w:rPr>
        <w:t xml:space="preserve"> I cannot</w:t>
      </w:r>
      <w:r w:rsidR="00AB1BD5" w:rsidRPr="004D1AC3">
        <w:rPr>
          <w:szCs w:val="24"/>
        </w:rPr>
        <w:t xml:space="preserve"> allege a </w:t>
      </w:r>
      <w:r w:rsidR="00AB1BD5" w:rsidRPr="00140063">
        <w:rPr>
          <w:i/>
          <w:iCs/>
          <w:szCs w:val="24"/>
        </w:rPr>
        <w:t>Charter</w:t>
      </w:r>
      <w:r w:rsidR="00AB1BD5" w:rsidRPr="004D1AC3">
        <w:rPr>
          <w:szCs w:val="24"/>
        </w:rPr>
        <w:t xml:space="preserve"> breach by </w:t>
      </w:r>
      <w:r w:rsidR="006E7555" w:rsidRPr="004D1AC3">
        <w:rPr>
          <w:szCs w:val="24"/>
        </w:rPr>
        <w:t>m</w:t>
      </w:r>
      <w:r w:rsidR="00AE33AB" w:rsidRPr="004D1AC3">
        <w:rPr>
          <w:szCs w:val="24"/>
        </w:rPr>
        <w:t xml:space="preserve">y employer for firing me for </w:t>
      </w:r>
      <w:r w:rsidR="00287657" w:rsidRPr="004D1AC3">
        <w:rPr>
          <w:szCs w:val="24"/>
        </w:rPr>
        <w:t>exercising</w:t>
      </w:r>
      <w:r w:rsidR="00AE33AB" w:rsidRPr="004D1AC3">
        <w:rPr>
          <w:szCs w:val="24"/>
        </w:rPr>
        <w:t xml:space="preserve"> my </w:t>
      </w:r>
      <w:r w:rsidR="00287657" w:rsidRPr="004D1AC3">
        <w:rPr>
          <w:szCs w:val="24"/>
        </w:rPr>
        <w:t>freedom</w:t>
      </w:r>
      <w:r w:rsidR="00AE33AB" w:rsidRPr="004D1AC3">
        <w:rPr>
          <w:szCs w:val="24"/>
        </w:rPr>
        <w:t xml:space="preserve"> to associate. But I can make a constitutional claim against the state for f</w:t>
      </w:r>
      <w:r w:rsidR="00287657" w:rsidRPr="004D1AC3">
        <w:rPr>
          <w:szCs w:val="24"/>
        </w:rPr>
        <w:t>ailing to pass a statute altering the</w:t>
      </w:r>
      <w:r w:rsidR="00B21ECE">
        <w:rPr>
          <w:szCs w:val="24"/>
        </w:rPr>
        <w:t xml:space="preserve"> existing</w:t>
      </w:r>
      <w:r w:rsidR="00287657" w:rsidRPr="004D1AC3">
        <w:rPr>
          <w:szCs w:val="24"/>
        </w:rPr>
        <w:t xml:space="preserve"> common law rule which permits such firings. </w:t>
      </w:r>
      <w:r w:rsidR="00BC46DB" w:rsidRPr="004D1AC3">
        <w:rPr>
          <w:szCs w:val="24"/>
        </w:rPr>
        <w:t>This is, legally</w:t>
      </w:r>
      <w:r w:rsidR="000B08AB">
        <w:rPr>
          <w:szCs w:val="24"/>
        </w:rPr>
        <w:t xml:space="preserve"> speaking,</w:t>
      </w:r>
      <w:r w:rsidR="00BC46DB" w:rsidRPr="004D1AC3">
        <w:rPr>
          <w:szCs w:val="24"/>
        </w:rPr>
        <w:t xml:space="preserve"> what was requested, and happened, in </w:t>
      </w:r>
      <w:r w:rsidR="00BC46DB" w:rsidRPr="004D1AC3">
        <w:rPr>
          <w:i/>
          <w:iCs/>
          <w:szCs w:val="24"/>
        </w:rPr>
        <w:t>Dunmore</w:t>
      </w:r>
      <w:r w:rsidR="00BC46DB" w:rsidRPr="004D1AC3">
        <w:rPr>
          <w:szCs w:val="24"/>
        </w:rPr>
        <w:t>.</w:t>
      </w:r>
      <w:r w:rsidR="00995F0F">
        <w:rPr>
          <w:rStyle w:val="FootnoteReference"/>
          <w:szCs w:val="24"/>
        </w:rPr>
        <w:footnoteReference w:id="46"/>
      </w:r>
      <w:r w:rsidR="00BC46DB" w:rsidRPr="004D1AC3">
        <w:rPr>
          <w:szCs w:val="24"/>
        </w:rPr>
        <w:t xml:space="preserve"> </w:t>
      </w:r>
      <w:r w:rsidR="004D0538">
        <w:rPr>
          <w:szCs w:val="24"/>
        </w:rPr>
        <w:t xml:space="preserve">This </w:t>
      </w:r>
      <w:r w:rsidR="00873FF9">
        <w:rPr>
          <w:szCs w:val="24"/>
        </w:rPr>
        <w:t>is, in</w:t>
      </w:r>
      <w:r w:rsidR="004D0538">
        <w:rPr>
          <w:szCs w:val="24"/>
        </w:rPr>
        <w:t xml:space="preserve"> legal terms, the legal result achieved by the agricultural workers. </w:t>
      </w:r>
      <w:r w:rsidR="00287657" w:rsidRPr="004D1AC3">
        <w:rPr>
          <w:szCs w:val="24"/>
        </w:rPr>
        <w:t xml:space="preserve">This is what I have labelled “diagonal” </w:t>
      </w:r>
      <w:r w:rsidR="001F424E" w:rsidRPr="004D1AC3">
        <w:rPr>
          <w:szCs w:val="24"/>
        </w:rPr>
        <w:t>application</w:t>
      </w:r>
      <w:r w:rsidR="00287657" w:rsidRPr="004D1AC3">
        <w:rPr>
          <w:szCs w:val="24"/>
        </w:rPr>
        <w:t xml:space="preserve"> of the </w:t>
      </w:r>
      <w:r w:rsidR="00287657" w:rsidRPr="00140063">
        <w:rPr>
          <w:i/>
          <w:iCs/>
          <w:szCs w:val="24"/>
        </w:rPr>
        <w:t>Charter</w:t>
      </w:r>
      <w:r w:rsidR="00287657" w:rsidRPr="004D1AC3">
        <w:rPr>
          <w:szCs w:val="24"/>
        </w:rPr>
        <w:t>.</w:t>
      </w:r>
      <w:r w:rsidR="004135DB" w:rsidRPr="004D1AC3">
        <w:rPr>
          <w:rStyle w:val="FootnoteReference"/>
          <w:szCs w:val="24"/>
        </w:rPr>
        <w:footnoteReference w:id="47"/>
      </w:r>
      <w:r w:rsidR="00287657" w:rsidRPr="004D1AC3">
        <w:rPr>
          <w:szCs w:val="24"/>
        </w:rPr>
        <w:t xml:space="preserve"> </w:t>
      </w:r>
      <w:r w:rsidR="00067F4E" w:rsidRPr="004D1AC3">
        <w:rPr>
          <w:szCs w:val="24"/>
        </w:rPr>
        <w:t xml:space="preserve"> </w:t>
      </w:r>
    </w:p>
    <w:p w14:paraId="69C12F3B" w14:textId="24048BB1" w:rsidR="000730C6" w:rsidRDefault="000730C6" w:rsidP="000730C6">
      <w:pPr>
        <w:spacing w:line="240" w:lineRule="auto"/>
        <w:rPr>
          <w:szCs w:val="24"/>
        </w:rPr>
      </w:pPr>
    </w:p>
    <w:p w14:paraId="1FD414DD" w14:textId="1BFA85DA" w:rsidR="00B141A4" w:rsidRPr="004D1AC3" w:rsidRDefault="00067F4E" w:rsidP="000730C6">
      <w:pPr>
        <w:spacing w:line="240" w:lineRule="auto"/>
        <w:rPr>
          <w:szCs w:val="24"/>
        </w:rPr>
      </w:pPr>
      <w:r w:rsidRPr="004D1AC3">
        <w:rPr>
          <w:szCs w:val="24"/>
        </w:rPr>
        <w:t xml:space="preserve">Most of these </w:t>
      </w:r>
      <w:r w:rsidR="00877BBD" w:rsidRPr="004D1AC3">
        <w:rPr>
          <w:szCs w:val="24"/>
        </w:rPr>
        <w:t>“diagonal”</w:t>
      </w:r>
      <w:r w:rsidRPr="004D1AC3">
        <w:rPr>
          <w:szCs w:val="24"/>
        </w:rPr>
        <w:t xml:space="preserve"> cases involve what the court is fond of calling</w:t>
      </w:r>
      <w:r w:rsidR="00DD15AB" w:rsidRPr="004D1AC3">
        <w:rPr>
          <w:szCs w:val="24"/>
        </w:rPr>
        <w:t xml:space="preserve">, as in </w:t>
      </w:r>
      <w:r w:rsidR="00262ECA">
        <w:rPr>
          <w:i/>
          <w:iCs/>
        </w:rPr>
        <w:t>C</w:t>
      </w:r>
      <w:r w:rsidR="00262ECA" w:rsidRPr="007A4305">
        <w:rPr>
          <w:i/>
          <w:iCs/>
        </w:rPr>
        <w:t>asinos du Québec</w:t>
      </w:r>
      <w:r w:rsidR="00DD15AB" w:rsidRPr="004D1AC3">
        <w:rPr>
          <w:i/>
          <w:iCs/>
          <w:szCs w:val="24"/>
        </w:rPr>
        <w:t>,</w:t>
      </w:r>
      <w:r w:rsidR="00DD15AB" w:rsidRPr="004D1AC3">
        <w:rPr>
          <w:szCs w:val="24"/>
        </w:rPr>
        <w:t xml:space="preserve"> </w:t>
      </w:r>
      <w:r w:rsidRPr="004D1AC3">
        <w:rPr>
          <w:szCs w:val="24"/>
        </w:rPr>
        <w:t>“under inclusion</w:t>
      </w:r>
      <w:r w:rsidR="006A2F13">
        <w:rPr>
          <w:szCs w:val="24"/>
        </w:rPr>
        <w:t>.</w:t>
      </w:r>
      <w:r w:rsidRPr="004D1AC3">
        <w:rPr>
          <w:szCs w:val="24"/>
        </w:rPr>
        <w:t>”</w:t>
      </w:r>
      <w:r w:rsidR="00AC3C46" w:rsidRPr="004D1AC3">
        <w:rPr>
          <w:szCs w:val="24"/>
        </w:rPr>
        <w:t xml:space="preserve"> </w:t>
      </w:r>
      <w:r w:rsidRPr="004D1AC3">
        <w:rPr>
          <w:szCs w:val="24"/>
        </w:rPr>
        <w:t xml:space="preserve"> This is a weak</w:t>
      </w:r>
      <w:r w:rsidR="00DD15AB" w:rsidRPr="004D1AC3">
        <w:rPr>
          <w:szCs w:val="24"/>
        </w:rPr>
        <w:t xml:space="preserve"> formulation</w:t>
      </w:r>
      <w:r w:rsidRPr="004D1AC3">
        <w:rPr>
          <w:szCs w:val="24"/>
        </w:rPr>
        <w:t xml:space="preserve"> </w:t>
      </w:r>
      <w:r w:rsidR="00E15A4B" w:rsidRPr="004D1AC3">
        <w:rPr>
          <w:szCs w:val="24"/>
        </w:rPr>
        <w:t>which does not capture</w:t>
      </w:r>
      <w:r w:rsidR="00F228E2">
        <w:rPr>
          <w:szCs w:val="24"/>
        </w:rPr>
        <w:t>,</w:t>
      </w:r>
      <w:r w:rsidR="00E15A4B" w:rsidRPr="004D1AC3">
        <w:rPr>
          <w:szCs w:val="24"/>
        </w:rPr>
        <w:t xml:space="preserve"> </w:t>
      </w:r>
      <w:r w:rsidR="00AC3C46" w:rsidRPr="004D1AC3">
        <w:rPr>
          <w:szCs w:val="24"/>
        </w:rPr>
        <w:t xml:space="preserve">and </w:t>
      </w:r>
      <w:r w:rsidR="00340AE6" w:rsidRPr="004D1AC3">
        <w:rPr>
          <w:szCs w:val="24"/>
        </w:rPr>
        <w:t xml:space="preserve">actually </w:t>
      </w:r>
      <w:r w:rsidR="00AC3C46" w:rsidRPr="004D1AC3">
        <w:rPr>
          <w:szCs w:val="24"/>
        </w:rPr>
        <w:t>obscures</w:t>
      </w:r>
      <w:r w:rsidR="00F228E2">
        <w:rPr>
          <w:szCs w:val="24"/>
        </w:rPr>
        <w:t>,</w:t>
      </w:r>
      <w:r w:rsidR="00AC3C46" w:rsidRPr="004D1AC3">
        <w:rPr>
          <w:szCs w:val="24"/>
        </w:rPr>
        <w:t xml:space="preserve"> </w:t>
      </w:r>
      <w:r w:rsidR="00E15A4B" w:rsidRPr="004D1AC3">
        <w:rPr>
          <w:szCs w:val="24"/>
        </w:rPr>
        <w:t xml:space="preserve">what is really going on. The word the court should be using is </w:t>
      </w:r>
      <w:r w:rsidR="00AC3C46" w:rsidRPr="004D1AC3">
        <w:rPr>
          <w:szCs w:val="24"/>
        </w:rPr>
        <w:t xml:space="preserve">“express </w:t>
      </w:r>
      <w:r w:rsidR="00E15A4B" w:rsidRPr="004D1AC3">
        <w:rPr>
          <w:szCs w:val="24"/>
        </w:rPr>
        <w:t>exclusion</w:t>
      </w:r>
      <w:r w:rsidR="006A2F13">
        <w:rPr>
          <w:szCs w:val="24"/>
        </w:rPr>
        <w:t>.</w:t>
      </w:r>
      <w:r w:rsidR="00AC3C46" w:rsidRPr="004D1AC3">
        <w:rPr>
          <w:szCs w:val="24"/>
        </w:rPr>
        <w:t>”</w:t>
      </w:r>
      <w:r w:rsidR="00A2314F" w:rsidRPr="004D1AC3">
        <w:rPr>
          <w:szCs w:val="24"/>
        </w:rPr>
        <w:t xml:space="preserve">  The wrong is that specific groups are singled out for exclusion from our collective </w:t>
      </w:r>
      <w:r w:rsidR="0011151A" w:rsidRPr="004D1AC3">
        <w:rPr>
          <w:szCs w:val="24"/>
        </w:rPr>
        <w:t>bargaining</w:t>
      </w:r>
      <w:r w:rsidR="00A2314F" w:rsidRPr="004D1AC3">
        <w:rPr>
          <w:szCs w:val="24"/>
        </w:rPr>
        <w:t xml:space="preserve"> statutes which would otherwise apply to the</w:t>
      </w:r>
      <w:r w:rsidR="001465D5" w:rsidRPr="004D1AC3">
        <w:rPr>
          <w:szCs w:val="24"/>
        </w:rPr>
        <w:t>m</w:t>
      </w:r>
      <w:r w:rsidR="00A2314F" w:rsidRPr="004D1AC3">
        <w:rPr>
          <w:szCs w:val="24"/>
        </w:rPr>
        <w:t xml:space="preserve"> as </w:t>
      </w:r>
      <w:r w:rsidR="0011151A" w:rsidRPr="004D1AC3">
        <w:rPr>
          <w:szCs w:val="24"/>
        </w:rPr>
        <w:t>much</w:t>
      </w:r>
      <w:r w:rsidR="00A2314F" w:rsidRPr="004D1AC3">
        <w:rPr>
          <w:szCs w:val="24"/>
        </w:rPr>
        <w:t xml:space="preserve"> as they apply to al</w:t>
      </w:r>
      <w:r w:rsidR="00167503" w:rsidRPr="004D1AC3">
        <w:rPr>
          <w:szCs w:val="24"/>
        </w:rPr>
        <w:t>l</w:t>
      </w:r>
      <w:r w:rsidR="00A2314F" w:rsidRPr="004D1AC3">
        <w:rPr>
          <w:szCs w:val="24"/>
        </w:rPr>
        <w:t xml:space="preserve"> other employees. </w:t>
      </w:r>
      <w:r w:rsidR="00660658" w:rsidRPr="004D1AC3">
        <w:rPr>
          <w:szCs w:val="24"/>
        </w:rPr>
        <w:t>The m</w:t>
      </w:r>
      <w:r w:rsidR="0011151A" w:rsidRPr="004D1AC3">
        <w:rPr>
          <w:szCs w:val="24"/>
        </w:rPr>
        <w:t>anagers</w:t>
      </w:r>
      <w:r w:rsidR="00A2314F" w:rsidRPr="004D1AC3">
        <w:rPr>
          <w:szCs w:val="24"/>
        </w:rPr>
        <w:t xml:space="preserve"> </w:t>
      </w:r>
      <w:r w:rsidR="00660658" w:rsidRPr="004D1AC3">
        <w:rPr>
          <w:szCs w:val="24"/>
        </w:rPr>
        <w:t xml:space="preserve">in the </w:t>
      </w:r>
      <w:r w:rsidR="00660658" w:rsidRPr="004D1AC3">
        <w:rPr>
          <w:i/>
          <w:iCs/>
          <w:szCs w:val="24"/>
        </w:rPr>
        <w:t>Casinos</w:t>
      </w:r>
      <w:r w:rsidR="00660658" w:rsidRPr="004D1AC3">
        <w:rPr>
          <w:szCs w:val="24"/>
        </w:rPr>
        <w:t xml:space="preserve"> </w:t>
      </w:r>
      <w:r w:rsidR="00FB167D" w:rsidRPr="00FB167D">
        <w:rPr>
          <w:i/>
          <w:iCs/>
          <w:szCs w:val="24"/>
        </w:rPr>
        <w:t>de Quebec</w:t>
      </w:r>
      <w:r w:rsidR="00FB167D">
        <w:rPr>
          <w:szCs w:val="24"/>
        </w:rPr>
        <w:t xml:space="preserve"> </w:t>
      </w:r>
      <w:r w:rsidR="00660658" w:rsidRPr="004D1AC3">
        <w:rPr>
          <w:szCs w:val="24"/>
        </w:rPr>
        <w:t xml:space="preserve">case </w:t>
      </w:r>
      <w:r w:rsidR="00A2314F" w:rsidRPr="004D1AC3">
        <w:rPr>
          <w:b/>
          <w:bCs/>
          <w:szCs w:val="24"/>
        </w:rPr>
        <w:t xml:space="preserve">are </w:t>
      </w:r>
      <w:r w:rsidR="00A2314F" w:rsidRPr="004D1AC3">
        <w:rPr>
          <w:szCs w:val="24"/>
        </w:rPr>
        <w:t>employees</w:t>
      </w:r>
      <w:r w:rsidR="00706E15" w:rsidRPr="004D1AC3">
        <w:rPr>
          <w:szCs w:val="24"/>
        </w:rPr>
        <w:t xml:space="preserve">. </w:t>
      </w:r>
      <w:r w:rsidR="00660658" w:rsidRPr="004D1AC3">
        <w:rPr>
          <w:szCs w:val="24"/>
        </w:rPr>
        <w:t>Without the exclusion</w:t>
      </w:r>
      <w:r w:rsidR="00C37185">
        <w:rPr>
          <w:szCs w:val="24"/>
        </w:rPr>
        <w:t>,</w:t>
      </w:r>
      <w:r w:rsidR="00660658" w:rsidRPr="004D1AC3">
        <w:rPr>
          <w:szCs w:val="24"/>
        </w:rPr>
        <w:t xml:space="preserve"> the law would </w:t>
      </w:r>
      <w:r w:rsidR="00387CDC" w:rsidRPr="004D1AC3">
        <w:rPr>
          <w:szCs w:val="24"/>
        </w:rPr>
        <w:t xml:space="preserve">apply to them. </w:t>
      </w:r>
      <w:r w:rsidR="00706E15" w:rsidRPr="004D1AC3">
        <w:rPr>
          <w:szCs w:val="24"/>
        </w:rPr>
        <w:t>Bu</w:t>
      </w:r>
      <w:r w:rsidR="001465D5" w:rsidRPr="004D1AC3">
        <w:rPr>
          <w:szCs w:val="24"/>
        </w:rPr>
        <w:t>t</w:t>
      </w:r>
      <w:r w:rsidR="00706E15" w:rsidRPr="004D1AC3">
        <w:rPr>
          <w:szCs w:val="24"/>
        </w:rPr>
        <w:t xml:space="preserve"> they are </w:t>
      </w:r>
      <w:r w:rsidR="001465D5" w:rsidRPr="004D1AC3">
        <w:rPr>
          <w:szCs w:val="24"/>
        </w:rPr>
        <w:t xml:space="preserve">expressly identified and cut out of the law </w:t>
      </w:r>
      <w:r w:rsidR="006A2F13" w:rsidRPr="00366C05">
        <w:rPr>
          <w:szCs w:val="24"/>
        </w:rPr>
        <w:t>—</w:t>
      </w:r>
      <w:r w:rsidR="006A2F13">
        <w:rPr>
          <w:szCs w:val="24"/>
        </w:rPr>
        <w:t xml:space="preserve"> </w:t>
      </w:r>
      <w:r w:rsidR="006A2F13" w:rsidRPr="004D1AC3">
        <w:rPr>
          <w:szCs w:val="24"/>
        </w:rPr>
        <w:t>i.e.</w:t>
      </w:r>
      <w:r w:rsidR="001465D5" w:rsidRPr="004D1AC3">
        <w:rPr>
          <w:szCs w:val="24"/>
        </w:rPr>
        <w:t xml:space="preserve"> </w:t>
      </w:r>
      <w:r w:rsidR="00706E15" w:rsidRPr="004D1AC3">
        <w:rPr>
          <w:szCs w:val="24"/>
        </w:rPr>
        <w:t xml:space="preserve">excluded from </w:t>
      </w:r>
      <w:r w:rsidR="009042EC" w:rsidRPr="004D1AC3">
        <w:rPr>
          <w:szCs w:val="24"/>
        </w:rPr>
        <w:t>our Canadian</w:t>
      </w:r>
      <w:r w:rsidR="00706E15" w:rsidRPr="004D1AC3">
        <w:rPr>
          <w:szCs w:val="24"/>
        </w:rPr>
        <w:t xml:space="preserve"> law </w:t>
      </w:r>
      <w:r w:rsidR="0011151A" w:rsidRPr="004D1AC3">
        <w:rPr>
          <w:szCs w:val="24"/>
        </w:rPr>
        <w:t>instantiating</w:t>
      </w:r>
      <w:r w:rsidR="00622CB0">
        <w:rPr>
          <w:szCs w:val="24"/>
        </w:rPr>
        <w:t xml:space="preserve">/embodying our 2 (d) </w:t>
      </w:r>
      <w:r w:rsidR="00706E15" w:rsidRPr="004D1AC3">
        <w:rPr>
          <w:szCs w:val="24"/>
        </w:rPr>
        <w:t xml:space="preserve">freedom </w:t>
      </w:r>
      <w:r w:rsidR="00000B19" w:rsidRPr="004D1AC3">
        <w:rPr>
          <w:szCs w:val="24"/>
        </w:rPr>
        <w:t>of</w:t>
      </w:r>
      <w:r w:rsidR="00706E15" w:rsidRPr="004D1AC3">
        <w:rPr>
          <w:szCs w:val="24"/>
        </w:rPr>
        <w:t xml:space="preserve"> </w:t>
      </w:r>
      <w:r w:rsidR="0011151A" w:rsidRPr="004D1AC3">
        <w:rPr>
          <w:szCs w:val="24"/>
        </w:rPr>
        <w:t xml:space="preserve">association. </w:t>
      </w:r>
      <w:r w:rsidR="00387CDC" w:rsidRPr="004D1AC3">
        <w:rPr>
          <w:szCs w:val="24"/>
        </w:rPr>
        <w:t xml:space="preserve">As were the agricultural workers in </w:t>
      </w:r>
      <w:r w:rsidR="00387CDC" w:rsidRPr="004D1AC3">
        <w:rPr>
          <w:i/>
          <w:iCs/>
          <w:szCs w:val="24"/>
        </w:rPr>
        <w:t>Dunmore</w:t>
      </w:r>
      <w:r w:rsidR="00995F0F" w:rsidRPr="00823EBE">
        <w:rPr>
          <w:rStyle w:val="FootnoteReference"/>
          <w:szCs w:val="24"/>
        </w:rPr>
        <w:footnoteReference w:id="48"/>
      </w:r>
      <w:r w:rsidR="00387CDC" w:rsidRPr="004D1AC3">
        <w:rPr>
          <w:szCs w:val="24"/>
        </w:rPr>
        <w:t xml:space="preserve"> and </w:t>
      </w:r>
      <w:r w:rsidR="00387CDC" w:rsidRPr="004D1AC3">
        <w:rPr>
          <w:i/>
          <w:iCs/>
          <w:szCs w:val="24"/>
        </w:rPr>
        <w:t>Fraser</w:t>
      </w:r>
      <w:r w:rsidR="00387CDC" w:rsidRPr="004D1AC3">
        <w:rPr>
          <w:szCs w:val="24"/>
        </w:rPr>
        <w:t>.</w:t>
      </w:r>
      <w:r w:rsidR="00864C93">
        <w:rPr>
          <w:rStyle w:val="FootnoteReference"/>
          <w:szCs w:val="24"/>
        </w:rPr>
        <w:footnoteReference w:id="49"/>
      </w:r>
      <w:r w:rsidR="00D242CD" w:rsidRPr="004D1AC3">
        <w:rPr>
          <w:szCs w:val="24"/>
        </w:rPr>
        <w:t xml:space="preserve"> </w:t>
      </w:r>
    </w:p>
    <w:p w14:paraId="6D64A3AB" w14:textId="5D6FC80F" w:rsidR="000730C6" w:rsidRDefault="000730C6" w:rsidP="000730C6">
      <w:pPr>
        <w:spacing w:line="240" w:lineRule="auto"/>
        <w:rPr>
          <w:szCs w:val="24"/>
        </w:rPr>
      </w:pPr>
    </w:p>
    <w:p w14:paraId="187182EA" w14:textId="19B70B60" w:rsidR="00B15D30" w:rsidRPr="00525A18" w:rsidRDefault="00D242CD" w:rsidP="000730C6">
      <w:pPr>
        <w:spacing w:line="240" w:lineRule="auto"/>
        <w:rPr>
          <w:szCs w:val="24"/>
        </w:rPr>
      </w:pPr>
      <w:r w:rsidRPr="004D1AC3">
        <w:rPr>
          <w:szCs w:val="24"/>
        </w:rPr>
        <w:t>Once we see this</w:t>
      </w:r>
      <w:r w:rsidR="0034188C">
        <w:rPr>
          <w:szCs w:val="24"/>
        </w:rPr>
        <w:t>,</w:t>
      </w:r>
      <w:r w:rsidRPr="004D1AC3">
        <w:rPr>
          <w:szCs w:val="24"/>
        </w:rPr>
        <w:t xml:space="preserve"> then we </w:t>
      </w:r>
      <w:r w:rsidR="00B141A4" w:rsidRPr="004D1AC3">
        <w:rPr>
          <w:szCs w:val="24"/>
        </w:rPr>
        <w:t>can more clearl</w:t>
      </w:r>
      <w:r w:rsidR="00F37979" w:rsidRPr="004D1AC3">
        <w:rPr>
          <w:szCs w:val="24"/>
        </w:rPr>
        <w:t xml:space="preserve">y </w:t>
      </w:r>
      <w:r w:rsidRPr="004D1AC3">
        <w:rPr>
          <w:szCs w:val="24"/>
        </w:rPr>
        <w:t xml:space="preserve">see that the </w:t>
      </w:r>
      <w:r w:rsidR="00B141A4" w:rsidRPr="004D1AC3">
        <w:rPr>
          <w:szCs w:val="24"/>
        </w:rPr>
        <w:t>gravamen</w:t>
      </w:r>
      <w:r w:rsidRPr="004D1AC3">
        <w:rPr>
          <w:szCs w:val="24"/>
        </w:rPr>
        <w:t xml:space="preserve"> of the constitutional complain</w:t>
      </w:r>
      <w:r w:rsidR="005923E9" w:rsidRPr="004D1AC3">
        <w:rPr>
          <w:szCs w:val="24"/>
        </w:rPr>
        <w:t>t</w:t>
      </w:r>
      <w:r w:rsidRPr="004D1AC3">
        <w:rPr>
          <w:szCs w:val="24"/>
        </w:rPr>
        <w:t xml:space="preserve"> in those case</w:t>
      </w:r>
      <w:r w:rsidR="00F37979" w:rsidRPr="004D1AC3">
        <w:rPr>
          <w:szCs w:val="24"/>
        </w:rPr>
        <w:t>s</w:t>
      </w:r>
      <w:r w:rsidRPr="004D1AC3">
        <w:rPr>
          <w:szCs w:val="24"/>
        </w:rPr>
        <w:t xml:space="preserve"> is not </w:t>
      </w:r>
      <w:r w:rsidR="00890A49">
        <w:rPr>
          <w:szCs w:val="24"/>
        </w:rPr>
        <w:t xml:space="preserve">s. </w:t>
      </w:r>
      <w:r w:rsidRPr="004D1AC3">
        <w:rPr>
          <w:szCs w:val="24"/>
        </w:rPr>
        <w:t>2(d) but s.15.</w:t>
      </w:r>
      <w:r w:rsidR="005E75CE">
        <w:rPr>
          <w:rStyle w:val="FootnoteReference"/>
          <w:szCs w:val="24"/>
        </w:rPr>
        <w:footnoteReference w:id="50"/>
      </w:r>
      <w:r w:rsidRPr="004D1AC3">
        <w:rPr>
          <w:szCs w:val="24"/>
        </w:rPr>
        <w:t xml:space="preserve"> The complaint is one of unjustified exclusion </w:t>
      </w:r>
      <w:r w:rsidR="004655AB" w:rsidRPr="004D1AC3">
        <w:rPr>
          <w:szCs w:val="24"/>
        </w:rPr>
        <w:t xml:space="preserve">of some </w:t>
      </w:r>
      <w:r w:rsidR="004655AB" w:rsidRPr="004D1AC3">
        <w:rPr>
          <w:szCs w:val="24"/>
        </w:rPr>
        <w:lastRenderedPageBreak/>
        <w:t xml:space="preserve">employees </w:t>
      </w:r>
      <w:r w:rsidRPr="004D1AC3">
        <w:rPr>
          <w:szCs w:val="24"/>
        </w:rPr>
        <w:t xml:space="preserve">from protection of a fundamental freedom when such protection is given </w:t>
      </w:r>
      <w:r w:rsidR="004655AB" w:rsidRPr="004D1AC3">
        <w:rPr>
          <w:szCs w:val="24"/>
        </w:rPr>
        <w:t xml:space="preserve">generally </w:t>
      </w:r>
      <w:r w:rsidRPr="004D1AC3">
        <w:rPr>
          <w:szCs w:val="24"/>
        </w:rPr>
        <w:t xml:space="preserve">to other </w:t>
      </w:r>
      <w:r w:rsidR="004655AB" w:rsidRPr="004D1AC3">
        <w:rPr>
          <w:szCs w:val="24"/>
        </w:rPr>
        <w:t>employees. Note</w:t>
      </w:r>
      <w:r w:rsidR="00D64F6A">
        <w:rPr>
          <w:szCs w:val="24"/>
        </w:rPr>
        <w:t xml:space="preserve"> that </w:t>
      </w:r>
      <w:r w:rsidR="004655AB" w:rsidRPr="004D1AC3">
        <w:rPr>
          <w:szCs w:val="24"/>
        </w:rPr>
        <w:t>this is</w:t>
      </w:r>
      <w:r w:rsidR="00F71170">
        <w:rPr>
          <w:szCs w:val="24"/>
        </w:rPr>
        <w:t xml:space="preserve"> the </w:t>
      </w:r>
      <w:r w:rsidR="00944FB6">
        <w:rPr>
          <w:szCs w:val="24"/>
        </w:rPr>
        <w:t xml:space="preserve">very </w:t>
      </w:r>
      <w:r w:rsidR="00622CB0">
        <w:rPr>
          <w:szCs w:val="24"/>
        </w:rPr>
        <w:t>deep</w:t>
      </w:r>
      <w:r w:rsidR="00F71170">
        <w:rPr>
          <w:szCs w:val="24"/>
        </w:rPr>
        <w:t xml:space="preserve"> reason why</w:t>
      </w:r>
      <w:r w:rsidR="004655AB" w:rsidRPr="004D1AC3">
        <w:rPr>
          <w:szCs w:val="24"/>
        </w:rPr>
        <w:t xml:space="preserve"> </w:t>
      </w:r>
      <w:r w:rsidR="00944FB6">
        <w:rPr>
          <w:szCs w:val="24"/>
        </w:rPr>
        <w:t xml:space="preserve">the reasoning in </w:t>
      </w:r>
      <w:r w:rsidR="004655AB" w:rsidRPr="004D1AC3">
        <w:rPr>
          <w:i/>
          <w:iCs/>
          <w:szCs w:val="24"/>
        </w:rPr>
        <w:t>Dunmore</w:t>
      </w:r>
      <w:r w:rsidR="00823EBE" w:rsidRPr="00350958">
        <w:rPr>
          <w:rStyle w:val="FootnoteReference"/>
          <w:szCs w:val="24"/>
        </w:rPr>
        <w:footnoteReference w:id="51"/>
      </w:r>
      <w:r w:rsidR="00944FB6">
        <w:rPr>
          <w:szCs w:val="24"/>
        </w:rPr>
        <w:t xml:space="preserve"> cannot be the </w:t>
      </w:r>
      <w:r w:rsidR="004655AB" w:rsidRPr="004D1AC3">
        <w:rPr>
          <w:szCs w:val="24"/>
        </w:rPr>
        <w:t>foundation</w:t>
      </w:r>
      <w:r w:rsidR="00622CB0">
        <w:rPr>
          <w:szCs w:val="24"/>
        </w:rPr>
        <w:t xml:space="preserve"> for any of our cases</w:t>
      </w:r>
      <w:r w:rsidR="004655AB" w:rsidRPr="004D1AC3">
        <w:rPr>
          <w:szCs w:val="24"/>
        </w:rPr>
        <w:t xml:space="preserve">. That case involved an </w:t>
      </w:r>
      <w:r w:rsidR="00EC290F" w:rsidRPr="004D1AC3">
        <w:rPr>
          <w:szCs w:val="24"/>
        </w:rPr>
        <w:t>equality</w:t>
      </w:r>
      <w:r w:rsidR="004655AB" w:rsidRPr="004D1AC3">
        <w:rPr>
          <w:szCs w:val="24"/>
        </w:rPr>
        <w:t xml:space="preserve"> claim, an equality </w:t>
      </w:r>
      <w:r w:rsidR="00EC290F" w:rsidRPr="004D1AC3">
        <w:rPr>
          <w:szCs w:val="24"/>
        </w:rPr>
        <w:t>argument</w:t>
      </w:r>
      <w:r w:rsidR="004655AB" w:rsidRPr="004D1AC3">
        <w:rPr>
          <w:szCs w:val="24"/>
        </w:rPr>
        <w:t>, an</w:t>
      </w:r>
      <w:r w:rsidR="00F67A68" w:rsidRPr="004D1AC3">
        <w:rPr>
          <w:szCs w:val="24"/>
        </w:rPr>
        <w:t xml:space="preserve">d an </w:t>
      </w:r>
      <w:r w:rsidR="004655AB" w:rsidRPr="004D1AC3">
        <w:rPr>
          <w:szCs w:val="24"/>
        </w:rPr>
        <w:t>equality remedy</w:t>
      </w:r>
      <w:r w:rsidR="00F67A68" w:rsidRPr="004D1AC3">
        <w:rPr>
          <w:szCs w:val="24"/>
        </w:rPr>
        <w:t>. It even, eerily</w:t>
      </w:r>
      <w:r w:rsidR="00EC290F" w:rsidRPr="004D1AC3">
        <w:rPr>
          <w:szCs w:val="24"/>
        </w:rPr>
        <w:t>,</w:t>
      </w:r>
      <w:r w:rsidR="00F67A68" w:rsidRPr="004D1AC3">
        <w:rPr>
          <w:szCs w:val="24"/>
        </w:rPr>
        <w:t xml:space="preserve"> involve</w:t>
      </w:r>
      <w:r w:rsidR="00EC290F" w:rsidRPr="004D1AC3">
        <w:rPr>
          <w:szCs w:val="24"/>
        </w:rPr>
        <w:t>d</w:t>
      </w:r>
      <w:r w:rsidR="00F67A68" w:rsidRPr="004D1AC3">
        <w:rPr>
          <w:szCs w:val="24"/>
        </w:rPr>
        <w:t xml:space="preserve"> </w:t>
      </w:r>
      <w:r w:rsidR="00EC290F" w:rsidRPr="004D1AC3">
        <w:rPr>
          <w:szCs w:val="24"/>
        </w:rPr>
        <w:t>equality</w:t>
      </w:r>
      <w:r w:rsidR="00F67A68" w:rsidRPr="004D1AC3">
        <w:rPr>
          <w:szCs w:val="24"/>
        </w:rPr>
        <w:t xml:space="preserve"> reasoning </w:t>
      </w:r>
      <w:r w:rsidR="005923E9" w:rsidRPr="004D1AC3">
        <w:rPr>
          <w:szCs w:val="24"/>
        </w:rPr>
        <w:t xml:space="preserve">but </w:t>
      </w:r>
      <w:r w:rsidR="00EC290F" w:rsidRPr="004D1AC3">
        <w:rPr>
          <w:szCs w:val="24"/>
        </w:rPr>
        <w:t>impossibly</w:t>
      </w:r>
      <w:r w:rsidR="00F67A68" w:rsidRPr="004D1AC3">
        <w:rPr>
          <w:szCs w:val="24"/>
        </w:rPr>
        <w:t xml:space="preserve"> </w:t>
      </w:r>
      <w:r w:rsidR="00EC290F" w:rsidRPr="004D1AC3">
        <w:rPr>
          <w:szCs w:val="24"/>
        </w:rPr>
        <w:t>masquerading</w:t>
      </w:r>
      <w:r w:rsidR="00F67A68" w:rsidRPr="004D1AC3">
        <w:rPr>
          <w:szCs w:val="24"/>
        </w:rPr>
        <w:t xml:space="preserve"> as </w:t>
      </w:r>
      <w:r w:rsidR="00F2718A" w:rsidRPr="004D1AC3">
        <w:rPr>
          <w:szCs w:val="24"/>
        </w:rPr>
        <w:t xml:space="preserve">freedom of association reasoning. </w:t>
      </w:r>
      <w:r w:rsidR="005923E9" w:rsidRPr="004D1AC3">
        <w:rPr>
          <w:szCs w:val="24"/>
        </w:rPr>
        <w:t xml:space="preserve">But it dared not speak the word equality. </w:t>
      </w:r>
      <w:r w:rsidR="00F2718A" w:rsidRPr="004D1AC3">
        <w:rPr>
          <w:szCs w:val="24"/>
        </w:rPr>
        <w:t xml:space="preserve">Our law would be so much </w:t>
      </w:r>
      <w:r w:rsidR="00B141A4" w:rsidRPr="004D1AC3">
        <w:rPr>
          <w:szCs w:val="24"/>
        </w:rPr>
        <w:t>better</w:t>
      </w:r>
      <w:r w:rsidR="00F2718A" w:rsidRPr="004D1AC3">
        <w:rPr>
          <w:szCs w:val="24"/>
        </w:rPr>
        <w:t xml:space="preserve"> off i</w:t>
      </w:r>
      <w:r w:rsidR="00C37185">
        <w:rPr>
          <w:szCs w:val="24"/>
        </w:rPr>
        <w:t>f</w:t>
      </w:r>
      <w:r w:rsidR="00F2718A" w:rsidRPr="004D1AC3">
        <w:rPr>
          <w:szCs w:val="24"/>
        </w:rPr>
        <w:t xml:space="preserve"> these points had </w:t>
      </w:r>
      <w:r w:rsidR="0034188C">
        <w:rPr>
          <w:szCs w:val="24"/>
        </w:rPr>
        <w:t>not been</w:t>
      </w:r>
      <w:r w:rsidR="00F2718A" w:rsidRPr="004D1AC3">
        <w:rPr>
          <w:szCs w:val="24"/>
        </w:rPr>
        <w:t xml:space="preserve"> avoided in the final </w:t>
      </w:r>
      <w:r w:rsidR="00EC290F" w:rsidRPr="006F10B1">
        <w:rPr>
          <w:i/>
          <w:iCs/>
          <w:szCs w:val="24"/>
        </w:rPr>
        <w:t>Dunmore</w:t>
      </w:r>
      <w:r w:rsidR="00EC290F" w:rsidRPr="004D1AC3">
        <w:rPr>
          <w:szCs w:val="24"/>
        </w:rPr>
        <w:t xml:space="preserve"> decision. </w:t>
      </w:r>
      <w:r w:rsidR="00A56AB9" w:rsidRPr="004D1AC3">
        <w:rPr>
          <w:szCs w:val="24"/>
        </w:rPr>
        <w:t xml:space="preserve">What </w:t>
      </w:r>
      <w:r w:rsidR="00795207" w:rsidRPr="004D1AC3">
        <w:rPr>
          <w:szCs w:val="24"/>
        </w:rPr>
        <w:t>the</w:t>
      </w:r>
      <w:r w:rsidR="00A56AB9" w:rsidRPr="004D1AC3">
        <w:rPr>
          <w:szCs w:val="24"/>
        </w:rPr>
        <w:t xml:space="preserve"> </w:t>
      </w:r>
      <w:r w:rsidR="00795207" w:rsidRPr="004D1AC3">
        <w:rPr>
          <w:szCs w:val="24"/>
        </w:rPr>
        <w:t>agricultural</w:t>
      </w:r>
      <w:r w:rsidR="00A56AB9" w:rsidRPr="004D1AC3">
        <w:rPr>
          <w:szCs w:val="24"/>
        </w:rPr>
        <w:t xml:space="preserve"> workers wanted in that case</w:t>
      </w:r>
      <w:r w:rsidR="002D3A81" w:rsidRPr="004D1AC3">
        <w:rPr>
          <w:szCs w:val="24"/>
        </w:rPr>
        <w:t>, and got</w:t>
      </w:r>
      <w:r w:rsidR="00D47296">
        <w:rPr>
          <w:szCs w:val="24"/>
        </w:rPr>
        <w:t>,</w:t>
      </w:r>
      <w:r w:rsidR="00A56AB9" w:rsidRPr="004D1AC3">
        <w:rPr>
          <w:szCs w:val="24"/>
        </w:rPr>
        <w:t xml:space="preserve"> was what all other </w:t>
      </w:r>
      <w:r w:rsidR="005A29F1">
        <w:rPr>
          <w:szCs w:val="24"/>
        </w:rPr>
        <w:t xml:space="preserve">employees </w:t>
      </w:r>
      <w:r w:rsidR="00A56AB9" w:rsidRPr="004D1AC3">
        <w:rPr>
          <w:szCs w:val="24"/>
        </w:rPr>
        <w:t xml:space="preserve">had </w:t>
      </w:r>
      <w:r w:rsidR="006A2F13" w:rsidRPr="00366C05">
        <w:rPr>
          <w:szCs w:val="24"/>
        </w:rPr>
        <w:t>—</w:t>
      </w:r>
      <w:r w:rsidR="00A56AB9" w:rsidRPr="004D1AC3">
        <w:rPr>
          <w:szCs w:val="24"/>
        </w:rPr>
        <w:t xml:space="preserve"> unfair labour practice protection </w:t>
      </w:r>
      <w:r w:rsidR="006A2F13" w:rsidRPr="00366C05">
        <w:rPr>
          <w:szCs w:val="24"/>
        </w:rPr>
        <w:t>—</w:t>
      </w:r>
      <w:r w:rsidR="002D3A81" w:rsidRPr="004D1AC3">
        <w:rPr>
          <w:szCs w:val="24"/>
        </w:rPr>
        <w:t xml:space="preserve"> </w:t>
      </w:r>
      <w:r w:rsidR="006A2F13" w:rsidRPr="004D1AC3">
        <w:rPr>
          <w:szCs w:val="24"/>
        </w:rPr>
        <w:t>i.e.</w:t>
      </w:r>
      <w:r w:rsidR="002D3A81" w:rsidRPr="004D1AC3">
        <w:rPr>
          <w:szCs w:val="24"/>
        </w:rPr>
        <w:t xml:space="preserve"> ss</w:t>
      </w:r>
      <w:r w:rsidR="00795207" w:rsidRPr="004D1AC3">
        <w:rPr>
          <w:szCs w:val="24"/>
        </w:rPr>
        <w:t>.</w:t>
      </w:r>
      <w:r w:rsidR="002D3A81" w:rsidRPr="004D1AC3">
        <w:rPr>
          <w:szCs w:val="24"/>
        </w:rPr>
        <w:t xml:space="preserve"> 70 and 72 of the </w:t>
      </w:r>
      <w:r w:rsidR="002D3A81" w:rsidRPr="00EF1E4B">
        <w:rPr>
          <w:i/>
          <w:iCs/>
          <w:szCs w:val="24"/>
        </w:rPr>
        <w:t>O</w:t>
      </w:r>
      <w:r w:rsidR="00A51673" w:rsidRPr="00EF1E4B">
        <w:rPr>
          <w:i/>
          <w:iCs/>
          <w:szCs w:val="24"/>
        </w:rPr>
        <w:t>ntario</w:t>
      </w:r>
      <w:r w:rsidR="00A51673">
        <w:rPr>
          <w:szCs w:val="24"/>
        </w:rPr>
        <w:t xml:space="preserve"> </w:t>
      </w:r>
      <w:r w:rsidR="00A51673" w:rsidRPr="007B63F6">
        <w:rPr>
          <w:i/>
          <w:iCs/>
          <w:szCs w:val="24"/>
        </w:rPr>
        <w:t>Labour Relations Act</w:t>
      </w:r>
      <w:r w:rsidR="00480F37">
        <w:rPr>
          <w:rStyle w:val="FootnoteReference"/>
          <w:szCs w:val="24"/>
        </w:rPr>
        <w:footnoteReference w:id="52"/>
      </w:r>
      <w:r w:rsidR="002D3A81" w:rsidRPr="004D1AC3">
        <w:rPr>
          <w:szCs w:val="24"/>
        </w:rPr>
        <w:t xml:space="preserve"> (in my language derivative right/duties</w:t>
      </w:r>
      <w:r w:rsidR="00C47F5B" w:rsidRPr="004D1AC3">
        <w:rPr>
          <w:szCs w:val="24"/>
        </w:rPr>
        <w:t xml:space="preserve"> not part of the common law</w:t>
      </w:r>
      <w:r w:rsidR="00314988" w:rsidRPr="004D1AC3">
        <w:rPr>
          <w:szCs w:val="24"/>
        </w:rPr>
        <w:t xml:space="preserve"> </w:t>
      </w:r>
      <w:r w:rsidR="006A2F13" w:rsidRPr="00366C05">
        <w:rPr>
          <w:szCs w:val="24"/>
        </w:rPr>
        <w:t>—</w:t>
      </w:r>
      <w:r w:rsidR="00314988" w:rsidRPr="004D1AC3">
        <w:rPr>
          <w:szCs w:val="24"/>
        </w:rPr>
        <w:t xml:space="preserve"> created to protect the freedom </w:t>
      </w:r>
      <w:r w:rsidR="003858F7" w:rsidRPr="004D1AC3">
        <w:rPr>
          <w:szCs w:val="24"/>
        </w:rPr>
        <w:t xml:space="preserve">(derived </w:t>
      </w:r>
      <w:r w:rsidR="005A29F1">
        <w:rPr>
          <w:szCs w:val="24"/>
        </w:rPr>
        <w:t xml:space="preserve">from </w:t>
      </w:r>
      <w:r w:rsidR="003E77E8">
        <w:rPr>
          <w:szCs w:val="24"/>
        </w:rPr>
        <w:t>and aimed</w:t>
      </w:r>
      <w:r w:rsidR="005A29F1">
        <w:rPr>
          <w:szCs w:val="24"/>
        </w:rPr>
        <w:t xml:space="preserve"> at</w:t>
      </w:r>
      <w:r w:rsidR="003E77E8">
        <w:rPr>
          <w:szCs w:val="24"/>
        </w:rPr>
        <w:t xml:space="preserve"> </w:t>
      </w:r>
      <w:r w:rsidR="00BA544B" w:rsidRPr="004D1AC3">
        <w:rPr>
          <w:szCs w:val="24"/>
        </w:rPr>
        <w:t>protect</w:t>
      </w:r>
      <w:r w:rsidR="00204DCE">
        <w:rPr>
          <w:szCs w:val="24"/>
        </w:rPr>
        <w:t>ing</w:t>
      </w:r>
      <w:r w:rsidR="003858F7" w:rsidRPr="004D1AC3">
        <w:rPr>
          <w:szCs w:val="24"/>
        </w:rPr>
        <w:t xml:space="preserve"> the </w:t>
      </w:r>
      <w:r w:rsidR="00BA544B" w:rsidRPr="004D1AC3">
        <w:rPr>
          <w:szCs w:val="24"/>
        </w:rPr>
        <w:t xml:space="preserve">specific </w:t>
      </w:r>
      <w:r w:rsidR="000D6331" w:rsidRPr="004D1AC3">
        <w:rPr>
          <w:szCs w:val="24"/>
        </w:rPr>
        <w:t>freedom)</w:t>
      </w:r>
      <w:r w:rsidR="00DE2360" w:rsidRPr="004D1AC3">
        <w:rPr>
          <w:szCs w:val="24"/>
        </w:rPr>
        <w:t xml:space="preserve"> </w:t>
      </w:r>
      <w:r w:rsidR="00314988" w:rsidRPr="004D1AC3">
        <w:rPr>
          <w:szCs w:val="24"/>
        </w:rPr>
        <w:t>from employer interferenc</w:t>
      </w:r>
      <w:r w:rsidR="00DE2360" w:rsidRPr="004D1AC3">
        <w:rPr>
          <w:szCs w:val="24"/>
        </w:rPr>
        <w:t>e.</w:t>
      </w:r>
      <w:r w:rsidR="001862B2">
        <w:rPr>
          <w:szCs w:val="24"/>
        </w:rPr>
        <w:t>)</w:t>
      </w:r>
      <w:r w:rsidR="00680704">
        <w:rPr>
          <w:szCs w:val="24"/>
        </w:rPr>
        <w:t xml:space="preserve"> This basic sort of equality claim</w:t>
      </w:r>
      <w:r w:rsidR="007F348E">
        <w:rPr>
          <w:szCs w:val="24"/>
        </w:rPr>
        <w:t xml:space="preserve"> (we are excluded, for no good reason, from what other</w:t>
      </w:r>
      <w:r w:rsidR="00705A1D">
        <w:rPr>
          <w:szCs w:val="24"/>
        </w:rPr>
        <w:t>s</w:t>
      </w:r>
      <w:r w:rsidR="007F348E">
        <w:rPr>
          <w:szCs w:val="24"/>
        </w:rPr>
        <w:t xml:space="preserve"> </w:t>
      </w:r>
      <w:r w:rsidR="00873FF9">
        <w:rPr>
          <w:szCs w:val="24"/>
        </w:rPr>
        <w:t>have) is</w:t>
      </w:r>
      <w:r w:rsidR="00105BD4">
        <w:rPr>
          <w:szCs w:val="24"/>
        </w:rPr>
        <w:t xml:space="preserve"> the real claim </w:t>
      </w:r>
      <w:r w:rsidR="00680704">
        <w:rPr>
          <w:szCs w:val="24"/>
        </w:rPr>
        <w:t xml:space="preserve">being made in </w:t>
      </w:r>
      <w:r w:rsidR="00262ECA">
        <w:rPr>
          <w:i/>
          <w:iCs/>
        </w:rPr>
        <w:t>C</w:t>
      </w:r>
      <w:r w:rsidR="00262ECA" w:rsidRPr="007A4305">
        <w:rPr>
          <w:i/>
          <w:iCs/>
        </w:rPr>
        <w:t>asinos du Québec</w:t>
      </w:r>
      <w:r w:rsidR="00680704" w:rsidRPr="00284D41">
        <w:rPr>
          <w:i/>
          <w:iCs/>
          <w:szCs w:val="24"/>
        </w:rPr>
        <w:t>.</w:t>
      </w:r>
    </w:p>
    <w:p w14:paraId="111AB61B" w14:textId="245AE196" w:rsidR="000730C6" w:rsidRDefault="000730C6" w:rsidP="000730C6">
      <w:pPr>
        <w:spacing w:line="240" w:lineRule="auto"/>
        <w:rPr>
          <w:szCs w:val="24"/>
        </w:rPr>
      </w:pPr>
    </w:p>
    <w:p w14:paraId="1347A764" w14:textId="54FAB6DD" w:rsidR="004E6CB3" w:rsidRPr="004D1AC3" w:rsidRDefault="00B15D30" w:rsidP="000730C6">
      <w:pPr>
        <w:spacing w:line="240" w:lineRule="auto"/>
        <w:rPr>
          <w:szCs w:val="24"/>
        </w:rPr>
      </w:pPr>
      <w:r w:rsidRPr="004D1AC3">
        <w:rPr>
          <w:szCs w:val="24"/>
        </w:rPr>
        <w:t>Such diagonal application</w:t>
      </w:r>
      <w:r w:rsidR="001F424E" w:rsidRPr="004D1AC3">
        <w:rPr>
          <w:szCs w:val="24"/>
        </w:rPr>
        <w:t xml:space="preserve"> </w:t>
      </w:r>
      <w:r w:rsidR="0090326C" w:rsidRPr="004D1AC3">
        <w:rPr>
          <w:szCs w:val="24"/>
        </w:rPr>
        <w:t>involves</w:t>
      </w:r>
      <w:r w:rsidR="00E339EA" w:rsidRPr="004D1AC3">
        <w:rPr>
          <w:szCs w:val="24"/>
        </w:rPr>
        <w:t>, it is true,</w:t>
      </w:r>
      <w:r w:rsidR="001F424E" w:rsidRPr="004D1AC3">
        <w:rPr>
          <w:szCs w:val="24"/>
        </w:rPr>
        <w:t xml:space="preserve"> a “positive” claim</w:t>
      </w:r>
      <w:r w:rsidR="0034225B" w:rsidRPr="004D1AC3">
        <w:rPr>
          <w:szCs w:val="24"/>
        </w:rPr>
        <w:t xml:space="preserve">. But we need to be very careful about positive claims. They come in two forms. </w:t>
      </w:r>
      <w:r w:rsidR="0090326C" w:rsidRPr="004D1AC3">
        <w:rPr>
          <w:szCs w:val="24"/>
        </w:rPr>
        <w:t>Again</w:t>
      </w:r>
      <w:r w:rsidR="00F11768" w:rsidRPr="004D1AC3">
        <w:rPr>
          <w:szCs w:val="24"/>
        </w:rPr>
        <w:t>,</w:t>
      </w:r>
      <w:r w:rsidR="0090326C" w:rsidRPr="004D1AC3">
        <w:rPr>
          <w:szCs w:val="24"/>
        </w:rPr>
        <w:t xml:space="preserve"> one </w:t>
      </w:r>
      <w:r w:rsidR="00AB3037" w:rsidRPr="004D1AC3">
        <w:rPr>
          <w:szCs w:val="24"/>
        </w:rPr>
        <w:t>positive but</w:t>
      </w:r>
      <w:r w:rsidR="0090326C" w:rsidRPr="004D1AC3">
        <w:rPr>
          <w:szCs w:val="24"/>
        </w:rPr>
        <w:t xml:space="preserve"> </w:t>
      </w:r>
      <w:r w:rsidR="00F11768" w:rsidRPr="004D1AC3">
        <w:rPr>
          <w:szCs w:val="24"/>
        </w:rPr>
        <w:t>“</w:t>
      </w:r>
      <w:r w:rsidR="0090326C" w:rsidRPr="004D1AC3">
        <w:rPr>
          <w:szCs w:val="24"/>
        </w:rPr>
        <w:t>vertical</w:t>
      </w:r>
      <w:r w:rsidR="00F11768" w:rsidRPr="004D1AC3">
        <w:rPr>
          <w:szCs w:val="24"/>
        </w:rPr>
        <w:t>”</w:t>
      </w:r>
      <w:r w:rsidR="0090326C" w:rsidRPr="004D1AC3">
        <w:rPr>
          <w:szCs w:val="24"/>
        </w:rPr>
        <w:t xml:space="preserve"> </w:t>
      </w:r>
      <w:r w:rsidR="005473B2" w:rsidRPr="00366C05">
        <w:rPr>
          <w:szCs w:val="24"/>
        </w:rPr>
        <w:t>—</w:t>
      </w:r>
      <w:r w:rsidR="0090326C" w:rsidRPr="004D1AC3">
        <w:rPr>
          <w:szCs w:val="24"/>
        </w:rPr>
        <w:t xml:space="preserve"> as in the </w:t>
      </w:r>
      <w:r w:rsidR="0067177A" w:rsidRPr="004D1AC3">
        <w:rPr>
          <w:i/>
          <w:iCs/>
          <w:szCs w:val="24"/>
        </w:rPr>
        <w:t>City of Toronto</w:t>
      </w:r>
      <w:bookmarkStart w:id="16" w:name="_Ref178274662"/>
      <w:r w:rsidR="00387CDC" w:rsidRPr="00776762">
        <w:rPr>
          <w:rStyle w:val="FootnoteReference"/>
          <w:szCs w:val="24"/>
        </w:rPr>
        <w:footnoteReference w:id="53"/>
      </w:r>
      <w:bookmarkEnd w:id="16"/>
      <w:r w:rsidR="0067177A" w:rsidRPr="004D1AC3">
        <w:rPr>
          <w:szCs w:val="24"/>
        </w:rPr>
        <w:t xml:space="preserve"> case</w:t>
      </w:r>
      <w:r w:rsidR="00387CDC" w:rsidRPr="004D1AC3">
        <w:rPr>
          <w:szCs w:val="24"/>
        </w:rPr>
        <w:t xml:space="preserve"> discussed in </w:t>
      </w:r>
      <w:r w:rsidR="00387CDC" w:rsidRPr="004D1AC3">
        <w:rPr>
          <w:i/>
          <w:iCs/>
          <w:szCs w:val="24"/>
        </w:rPr>
        <w:t>Casinos</w:t>
      </w:r>
      <w:r w:rsidR="009D5B43" w:rsidRPr="004D1AC3">
        <w:rPr>
          <w:szCs w:val="24"/>
        </w:rPr>
        <w:t xml:space="preserve"> </w:t>
      </w:r>
      <w:r w:rsidR="00067CAE" w:rsidRPr="00366C05">
        <w:rPr>
          <w:szCs w:val="24"/>
        </w:rPr>
        <w:t>—</w:t>
      </w:r>
      <w:r w:rsidR="009D5B43" w:rsidRPr="004D1AC3">
        <w:rPr>
          <w:szCs w:val="24"/>
        </w:rPr>
        <w:t xml:space="preserve"> involving positive obligations</w:t>
      </w:r>
      <w:r w:rsidR="00F11768" w:rsidRPr="004D1AC3">
        <w:rPr>
          <w:szCs w:val="24"/>
        </w:rPr>
        <w:t xml:space="preserve"> on</w:t>
      </w:r>
      <w:r w:rsidR="00F11768" w:rsidRPr="004D1AC3">
        <w:rPr>
          <w:b/>
          <w:bCs/>
          <w:szCs w:val="24"/>
        </w:rPr>
        <w:t xml:space="preserve"> the state itself</w:t>
      </w:r>
      <w:r w:rsidR="00F11768" w:rsidRPr="00140063">
        <w:rPr>
          <w:szCs w:val="24"/>
        </w:rPr>
        <w:t>.</w:t>
      </w:r>
      <w:r w:rsidR="00F11768" w:rsidRPr="00140063">
        <w:rPr>
          <w:rStyle w:val="FootnoteReference"/>
          <w:szCs w:val="24"/>
        </w:rPr>
        <w:footnoteReference w:id="54"/>
      </w:r>
      <w:r w:rsidR="00F11768" w:rsidRPr="00140063">
        <w:rPr>
          <w:szCs w:val="24"/>
        </w:rPr>
        <w:t xml:space="preserve"> </w:t>
      </w:r>
      <w:r w:rsidR="0067177A" w:rsidRPr="004D1AC3">
        <w:rPr>
          <w:szCs w:val="24"/>
        </w:rPr>
        <w:t xml:space="preserve"> And the other </w:t>
      </w:r>
      <w:r w:rsidR="00AB3037" w:rsidRPr="004D1AC3">
        <w:rPr>
          <w:szCs w:val="24"/>
        </w:rPr>
        <w:t xml:space="preserve">positive </w:t>
      </w:r>
      <w:r w:rsidR="00232F1A" w:rsidRPr="004D1AC3">
        <w:rPr>
          <w:szCs w:val="24"/>
        </w:rPr>
        <w:t>but</w:t>
      </w:r>
      <w:r w:rsidR="00802FEE" w:rsidRPr="004D1AC3">
        <w:rPr>
          <w:szCs w:val="24"/>
        </w:rPr>
        <w:t xml:space="preserve"> </w:t>
      </w:r>
      <w:r w:rsidR="00502A37" w:rsidRPr="004D1AC3">
        <w:rPr>
          <w:szCs w:val="24"/>
        </w:rPr>
        <w:t>“</w:t>
      </w:r>
      <w:r w:rsidR="0067177A" w:rsidRPr="004D1AC3">
        <w:rPr>
          <w:szCs w:val="24"/>
        </w:rPr>
        <w:t>diagonal</w:t>
      </w:r>
      <w:r w:rsidR="00502A37" w:rsidRPr="004D1AC3">
        <w:rPr>
          <w:szCs w:val="24"/>
        </w:rPr>
        <w:t>”</w:t>
      </w:r>
      <w:r w:rsidR="009D5B43" w:rsidRPr="004D1AC3">
        <w:rPr>
          <w:szCs w:val="24"/>
        </w:rPr>
        <w:t xml:space="preserve"> </w:t>
      </w:r>
      <w:r w:rsidR="00067CAE" w:rsidRPr="00366C05">
        <w:rPr>
          <w:szCs w:val="24"/>
        </w:rPr>
        <w:t>—</w:t>
      </w:r>
      <w:r w:rsidR="009D5B43" w:rsidRPr="004D1AC3">
        <w:rPr>
          <w:szCs w:val="24"/>
        </w:rPr>
        <w:t xml:space="preserve"> </w:t>
      </w:r>
      <w:r w:rsidR="00387F67" w:rsidRPr="004D1AC3">
        <w:rPr>
          <w:szCs w:val="24"/>
        </w:rPr>
        <w:t>involv</w:t>
      </w:r>
      <w:r w:rsidR="001B545A" w:rsidRPr="004D1AC3">
        <w:rPr>
          <w:szCs w:val="24"/>
        </w:rPr>
        <w:t>ing</w:t>
      </w:r>
      <w:r w:rsidR="00387F67" w:rsidRPr="004D1AC3">
        <w:rPr>
          <w:szCs w:val="24"/>
        </w:rPr>
        <w:t xml:space="preserve"> </w:t>
      </w:r>
      <w:r w:rsidR="001B545A" w:rsidRPr="004D1AC3">
        <w:rPr>
          <w:szCs w:val="24"/>
        </w:rPr>
        <w:t xml:space="preserve">(the positive act of) the </w:t>
      </w:r>
      <w:r w:rsidR="00387F67" w:rsidRPr="004D1AC3">
        <w:rPr>
          <w:szCs w:val="24"/>
        </w:rPr>
        <w:t xml:space="preserve">state passing laws </w:t>
      </w:r>
      <w:r w:rsidR="00C415EE" w:rsidRPr="004D1AC3">
        <w:rPr>
          <w:szCs w:val="24"/>
        </w:rPr>
        <w:t xml:space="preserve">but </w:t>
      </w:r>
      <w:r w:rsidR="00387F67" w:rsidRPr="004D1AC3">
        <w:rPr>
          <w:szCs w:val="24"/>
        </w:rPr>
        <w:t>to alter the pre</w:t>
      </w:r>
      <w:r w:rsidR="00356EE0" w:rsidRPr="004D1AC3">
        <w:rPr>
          <w:szCs w:val="24"/>
        </w:rPr>
        <w:t>-</w:t>
      </w:r>
      <w:r w:rsidR="00387F67" w:rsidRPr="004D1AC3">
        <w:rPr>
          <w:szCs w:val="24"/>
        </w:rPr>
        <w:t>exi</w:t>
      </w:r>
      <w:r w:rsidR="00C415EE" w:rsidRPr="004D1AC3">
        <w:rPr>
          <w:szCs w:val="24"/>
        </w:rPr>
        <w:t>s</w:t>
      </w:r>
      <w:r w:rsidR="00387F67" w:rsidRPr="004D1AC3">
        <w:rPr>
          <w:szCs w:val="24"/>
        </w:rPr>
        <w:t xml:space="preserve">ting common law </w:t>
      </w:r>
      <w:r w:rsidR="00502A37" w:rsidRPr="004D1AC3">
        <w:rPr>
          <w:szCs w:val="24"/>
        </w:rPr>
        <w:t>obligations</w:t>
      </w:r>
      <w:r w:rsidR="00CE48FC" w:rsidRPr="004D1AC3">
        <w:rPr>
          <w:szCs w:val="24"/>
        </w:rPr>
        <w:t xml:space="preserve"> of other </w:t>
      </w:r>
      <w:r w:rsidR="00CE48FC" w:rsidRPr="004D1AC3">
        <w:rPr>
          <w:b/>
          <w:bCs/>
          <w:szCs w:val="24"/>
        </w:rPr>
        <w:t>private actors</w:t>
      </w:r>
      <w:r w:rsidR="00CE48FC" w:rsidRPr="004D1AC3">
        <w:rPr>
          <w:szCs w:val="24"/>
        </w:rPr>
        <w:t>.</w:t>
      </w:r>
    </w:p>
    <w:p w14:paraId="012BE7C7" w14:textId="4D8CEDD1" w:rsidR="000730C6" w:rsidRDefault="000730C6" w:rsidP="000730C6">
      <w:pPr>
        <w:spacing w:line="240" w:lineRule="auto"/>
        <w:rPr>
          <w:szCs w:val="24"/>
        </w:rPr>
      </w:pPr>
    </w:p>
    <w:p w14:paraId="4666FBC5" w14:textId="1D7556E5" w:rsidR="000730C6" w:rsidRDefault="004E6CB3" w:rsidP="000730C6">
      <w:pPr>
        <w:spacing w:line="240" w:lineRule="auto"/>
        <w:rPr>
          <w:szCs w:val="24"/>
        </w:rPr>
      </w:pPr>
      <w:r w:rsidRPr="004D1AC3">
        <w:rPr>
          <w:szCs w:val="24"/>
        </w:rPr>
        <w:t>If we grasp these point</w:t>
      </w:r>
      <w:r w:rsidR="00B05CAC" w:rsidRPr="004D1AC3">
        <w:rPr>
          <w:szCs w:val="24"/>
        </w:rPr>
        <w:t>s</w:t>
      </w:r>
      <w:r w:rsidR="0034188C">
        <w:rPr>
          <w:szCs w:val="24"/>
        </w:rPr>
        <w:t>,</w:t>
      </w:r>
      <w:r w:rsidRPr="004D1AC3">
        <w:rPr>
          <w:szCs w:val="24"/>
        </w:rPr>
        <w:t xml:space="preserve"> we can see that </w:t>
      </w:r>
      <w:r w:rsidR="00FA731D" w:rsidRPr="004D1AC3">
        <w:rPr>
          <w:szCs w:val="24"/>
        </w:rPr>
        <w:t>seeing “positive obligation” case</w:t>
      </w:r>
      <w:r w:rsidR="00B05CAC" w:rsidRPr="004D1AC3">
        <w:rPr>
          <w:szCs w:val="24"/>
        </w:rPr>
        <w:t>s</w:t>
      </w:r>
      <w:r w:rsidR="00FA731D" w:rsidRPr="004D1AC3">
        <w:rPr>
          <w:szCs w:val="24"/>
        </w:rPr>
        <w:t xml:space="preserve"> as a single </w:t>
      </w:r>
      <w:r w:rsidR="0053710B" w:rsidRPr="004D1AC3">
        <w:rPr>
          <w:szCs w:val="24"/>
        </w:rPr>
        <w:t>category obscures</w:t>
      </w:r>
      <w:r w:rsidR="00B05CAC" w:rsidRPr="004D1AC3">
        <w:rPr>
          <w:szCs w:val="24"/>
        </w:rPr>
        <w:t xml:space="preserve"> the real issue </w:t>
      </w:r>
      <w:r w:rsidR="00067CAE" w:rsidRPr="00366C05">
        <w:rPr>
          <w:szCs w:val="24"/>
        </w:rPr>
        <w:t>—</w:t>
      </w:r>
      <w:r w:rsidR="00B05CAC" w:rsidRPr="004D1AC3">
        <w:rPr>
          <w:szCs w:val="24"/>
        </w:rPr>
        <w:t xml:space="preserve"> </w:t>
      </w:r>
      <w:r w:rsidR="0053710B" w:rsidRPr="004D1AC3">
        <w:rPr>
          <w:szCs w:val="24"/>
        </w:rPr>
        <w:t xml:space="preserve">the public/private distinction. “Un train </w:t>
      </w:r>
      <w:proofErr w:type="spellStart"/>
      <w:r w:rsidR="0053710B" w:rsidRPr="004D1AC3">
        <w:rPr>
          <w:szCs w:val="24"/>
        </w:rPr>
        <w:t>peut</w:t>
      </w:r>
      <w:proofErr w:type="spellEnd"/>
      <w:r w:rsidR="0053710B" w:rsidRPr="004D1AC3">
        <w:rPr>
          <w:szCs w:val="24"/>
        </w:rPr>
        <w:t xml:space="preserve"> cache un </w:t>
      </w:r>
      <w:proofErr w:type="spellStart"/>
      <w:r w:rsidR="0053710B" w:rsidRPr="004D1AC3">
        <w:rPr>
          <w:szCs w:val="24"/>
        </w:rPr>
        <w:t>autre</w:t>
      </w:r>
      <w:proofErr w:type="spellEnd"/>
      <w:r w:rsidR="0020686D">
        <w:rPr>
          <w:szCs w:val="24"/>
        </w:rPr>
        <w:t>.</w:t>
      </w:r>
      <w:r w:rsidR="0053710B" w:rsidRPr="004D1AC3">
        <w:rPr>
          <w:szCs w:val="24"/>
        </w:rPr>
        <w:t xml:space="preserve">” </w:t>
      </w:r>
      <w:r w:rsidR="000B31F1">
        <w:rPr>
          <w:szCs w:val="24"/>
        </w:rPr>
        <w:t>Here is one rather large pay-off from this insight</w:t>
      </w:r>
      <w:r w:rsidR="00C87130">
        <w:rPr>
          <w:szCs w:val="24"/>
        </w:rPr>
        <w:t xml:space="preserve"> and </w:t>
      </w:r>
      <w:r w:rsidR="00B05CAC" w:rsidRPr="004D1AC3">
        <w:rPr>
          <w:szCs w:val="24"/>
        </w:rPr>
        <w:t>where a closer reading of our case</w:t>
      </w:r>
      <w:r w:rsidR="00137FE3" w:rsidRPr="004D1AC3">
        <w:rPr>
          <w:szCs w:val="24"/>
        </w:rPr>
        <w:t>s</w:t>
      </w:r>
      <w:r w:rsidR="00137FE3" w:rsidRPr="004D1AC3">
        <w:rPr>
          <w:rStyle w:val="FootnoteReference"/>
          <w:szCs w:val="24"/>
        </w:rPr>
        <w:footnoteReference w:id="55"/>
      </w:r>
      <w:r w:rsidR="00B05CAC" w:rsidRPr="004D1AC3">
        <w:rPr>
          <w:szCs w:val="24"/>
        </w:rPr>
        <w:t xml:space="preserve"> reveals the </w:t>
      </w:r>
      <w:r w:rsidR="00333F8F" w:rsidRPr="004D1AC3">
        <w:rPr>
          <w:szCs w:val="24"/>
        </w:rPr>
        <w:t>origin of the very problematic</w:t>
      </w:r>
      <w:r w:rsidR="002A09F2" w:rsidRPr="004D1AC3">
        <w:rPr>
          <w:szCs w:val="24"/>
        </w:rPr>
        <w:t xml:space="preserve"> </w:t>
      </w:r>
      <w:r w:rsidR="008471D4" w:rsidRPr="004D1AC3">
        <w:rPr>
          <w:szCs w:val="24"/>
        </w:rPr>
        <w:t xml:space="preserve">and </w:t>
      </w:r>
      <w:r w:rsidR="002A09F2" w:rsidRPr="004D1AC3">
        <w:rPr>
          <w:szCs w:val="24"/>
        </w:rPr>
        <w:t xml:space="preserve">stricter “substantial interference” test endorsed, wrongly, in the </w:t>
      </w:r>
      <w:r w:rsidR="00262ECA">
        <w:rPr>
          <w:i/>
          <w:iCs/>
        </w:rPr>
        <w:t>C</w:t>
      </w:r>
      <w:r w:rsidR="00262ECA" w:rsidRPr="007A4305">
        <w:rPr>
          <w:i/>
          <w:iCs/>
        </w:rPr>
        <w:t>asinos du Québec</w:t>
      </w:r>
      <w:r w:rsidR="002A09F2" w:rsidRPr="004D1AC3">
        <w:rPr>
          <w:i/>
          <w:iCs/>
          <w:szCs w:val="24"/>
        </w:rPr>
        <w:t xml:space="preserve"> </w:t>
      </w:r>
      <w:r w:rsidR="002A09F2" w:rsidRPr="004D1AC3">
        <w:rPr>
          <w:szCs w:val="24"/>
        </w:rPr>
        <w:t xml:space="preserve">decision. </w:t>
      </w:r>
      <w:r w:rsidR="008A3267" w:rsidRPr="004D1AC3">
        <w:rPr>
          <w:szCs w:val="24"/>
        </w:rPr>
        <w:t xml:space="preserve">The basic </w:t>
      </w:r>
      <w:r w:rsidR="00FA413F">
        <w:rPr>
          <w:szCs w:val="24"/>
        </w:rPr>
        <w:t>intuition</w:t>
      </w:r>
      <w:r w:rsidR="008A3267" w:rsidRPr="004D1AC3">
        <w:rPr>
          <w:szCs w:val="24"/>
        </w:rPr>
        <w:t xml:space="preserve"> is that some higher threshold, </w:t>
      </w:r>
      <w:r w:rsidR="0020686D" w:rsidRPr="004D1AC3">
        <w:rPr>
          <w:szCs w:val="24"/>
        </w:rPr>
        <w:t>i.e.</w:t>
      </w:r>
      <w:r w:rsidR="008A3267" w:rsidRPr="004D1AC3">
        <w:rPr>
          <w:szCs w:val="24"/>
        </w:rPr>
        <w:t xml:space="preserve"> stricter test</w:t>
      </w:r>
      <w:r w:rsidR="007B65FB" w:rsidRPr="004D1AC3">
        <w:rPr>
          <w:szCs w:val="24"/>
        </w:rPr>
        <w:t xml:space="preserve"> (whether “substantial interference” </w:t>
      </w:r>
      <w:r w:rsidR="0082237F" w:rsidRPr="004D1AC3">
        <w:rPr>
          <w:szCs w:val="24"/>
        </w:rPr>
        <w:t xml:space="preserve">with the freedom </w:t>
      </w:r>
      <w:r w:rsidR="007B65FB" w:rsidRPr="004D1AC3">
        <w:rPr>
          <w:szCs w:val="24"/>
        </w:rPr>
        <w:t xml:space="preserve">or “making </w:t>
      </w:r>
      <w:r w:rsidR="0082237F" w:rsidRPr="004D1AC3">
        <w:rPr>
          <w:szCs w:val="24"/>
        </w:rPr>
        <w:t xml:space="preserve">its </w:t>
      </w:r>
      <w:r w:rsidR="00BC2333" w:rsidRPr="004D1AC3">
        <w:rPr>
          <w:szCs w:val="24"/>
        </w:rPr>
        <w:t>exercise</w:t>
      </w:r>
      <w:r w:rsidR="0082237F" w:rsidRPr="004D1AC3">
        <w:rPr>
          <w:szCs w:val="24"/>
        </w:rPr>
        <w:t xml:space="preserve"> impossible”</w:t>
      </w:r>
      <w:r w:rsidR="008471D4" w:rsidRPr="004D1AC3">
        <w:rPr>
          <w:rStyle w:val="FootnoteReference"/>
          <w:szCs w:val="24"/>
        </w:rPr>
        <w:footnoteReference w:id="56"/>
      </w:r>
      <w:r w:rsidR="0082237F" w:rsidRPr="004D1AC3">
        <w:rPr>
          <w:szCs w:val="24"/>
        </w:rPr>
        <w:t xml:space="preserve">) may </w:t>
      </w:r>
      <w:r w:rsidR="0082237F" w:rsidRPr="004D1AC3">
        <w:rPr>
          <w:szCs w:val="24"/>
        </w:rPr>
        <w:lastRenderedPageBreak/>
        <w:t xml:space="preserve">be justified in the private actor case. </w:t>
      </w:r>
      <w:r w:rsidR="003E314D">
        <w:rPr>
          <w:szCs w:val="24"/>
        </w:rPr>
        <w:t>But it</w:t>
      </w:r>
      <w:r w:rsidR="0082237F" w:rsidRPr="004D1AC3">
        <w:rPr>
          <w:szCs w:val="24"/>
        </w:rPr>
        <w:t xml:space="preserve"> has no role at all in standard vertical cases</w:t>
      </w:r>
      <w:r w:rsidR="00100491" w:rsidRPr="004D1AC3">
        <w:rPr>
          <w:szCs w:val="24"/>
        </w:rPr>
        <w:t xml:space="preserve"> such as </w:t>
      </w:r>
      <w:r w:rsidR="00C32543" w:rsidRPr="004D1AC3">
        <w:rPr>
          <w:i/>
          <w:iCs/>
          <w:szCs w:val="24"/>
        </w:rPr>
        <w:t>BC Health</w:t>
      </w:r>
      <w:r w:rsidR="00890A49">
        <w:rPr>
          <w:szCs w:val="24"/>
        </w:rPr>
        <w:t>,</w:t>
      </w:r>
      <w:r w:rsidR="00EC58E9" w:rsidRPr="004D1AC3">
        <w:rPr>
          <w:rStyle w:val="FootnoteReference"/>
          <w:szCs w:val="24"/>
        </w:rPr>
        <w:footnoteReference w:id="57"/>
      </w:r>
      <w:r w:rsidR="00EC58E9" w:rsidRPr="004D1AC3">
        <w:rPr>
          <w:szCs w:val="24"/>
        </w:rPr>
        <w:t xml:space="preserve"> </w:t>
      </w:r>
      <w:r w:rsidR="00A464D0">
        <w:rPr>
          <w:szCs w:val="24"/>
        </w:rPr>
        <w:t>or</w:t>
      </w:r>
      <w:r w:rsidR="00526C5A">
        <w:rPr>
          <w:szCs w:val="24"/>
        </w:rPr>
        <w:t xml:space="preserve"> </w:t>
      </w:r>
      <w:r w:rsidR="00100491" w:rsidRPr="004D1AC3">
        <w:rPr>
          <w:szCs w:val="24"/>
        </w:rPr>
        <w:t>our “back to work” cases</w:t>
      </w:r>
      <w:r w:rsidR="00281DAB">
        <w:rPr>
          <w:szCs w:val="24"/>
        </w:rPr>
        <w:t xml:space="preserve"> where the state is the perpetrator of the actual interference</w:t>
      </w:r>
      <w:r w:rsidR="00BB2202">
        <w:rPr>
          <w:szCs w:val="24"/>
        </w:rPr>
        <w:t>.</w:t>
      </w:r>
      <w:r w:rsidR="001D3474" w:rsidRPr="004D1AC3">
        <w:rPr>
          <w:szCs w:val="24"/>
        </w:rPr>
        <w:t xml:space="preserve"> </w:t>
      </w:r>
      <w:r w:rsidR="00BC2333" w:rsidRPr="004D1AC3">
        <w:rPr>
          <w:szCs w:val="24"/>
        </w:rPr>
        <w:t>There</w:t>
      </w:r>
      <w:r w:rsidR="0034188C">
        <w:rPr>
          <w:szCs w:val="24"/>
        </w:rPr>
        <w:t>,</w:t>
      </w:r>
      <w:r w:rsidR="00BC2333" w:rsidRPr="004D1AC3">
        <w:rPr>
          <w:szCs w:val="24"/>
        </w:rPr>
        <w:t xml:space="preserve"> the test should be what the court says </w:t>
      </w:r>
      <w:r w:rsidR="001D3474" w:rsidRPr="004D1AC3">
        <w:rPr>
          <w:szCs w:val="24"/>
        </w:rPr>
        <w:t>is</w:t>
      </w:r>
      <w:r w:rsidR="00BC2333" w:rsidRPr="004D1AC3">
        <w:rPr>
          <w:szCs w:val="24"/>
        </w:rPr>
        <w:t xml:space="preserve"> the test for</w:t>
      </w:r>
      <w:r w:rsidR="00636231" w:rsidRPr="004D1AC3">
        <w:rPr>
          <w:szCs w:val="24"/>
        </w:rPr>
        <w:t xml:space="preserve"> all other state interference</w:t>
      </w:r>
      <w:r w:rsidR="0073670C" w:rsidRPr="004D1AC3">
        <w:rPr>
          <w:szCs w:val="24"/>
        </w:rPr>
        <w:t xml:space="preserve">s with </w:t>
      </w:r>
      <w:r w:rsidR="003343D1" w:rsidRPr="004D1AC3">
        <w:rPr>
          <w:szCs w:val="24"/>
        </w:rPr>
        <w:t>fundamental</w:t>
      </w:r>
      <w:r w:rsidR="0073670C" w:rsidRPr="004D1AC3">
        <w:rPr>
          <w:szCs w:val="24"/>
        </w:rPr>
        <w:t xml:space="preserve"> freedoms </w:t>
      </w:r>
      <w:r w:rsidR="0020686D" w:rsidRPr="00366C05">
        <w:rPr>
          <w:szCs w:val="24"/>
        </w:rPr>
        <w:t>—</w:t>
      </w:r>
      <w:r w:rsidR="00BC2333" w:rsidRPr="004D1AC3">
        <w:rPr>
          <w:szCs w:val="24"/>
        </w:rPr>
        <w:t xml:space="preserve"> </w:t>
      </w:r>
      <w:r w:rsidR="0066579A" w:rsidRPr="004D1AC3">
        <w:rPr>
          <w:szCs w:val="24"/>
        </w:rPr>
        <w:t xml:space="preserve">did the state interfere in a </w:t>
      </w:r>
      <w:r w:rsidR="00A72229" w:rsidRPr="004D1AC3">
        <w:rPr>
          <w:szCs w:val="24"/>
        </w:rPr>
        <w:t>way</w:t>
      </w:r>
      <w:r w:rsidR="0066579A" w:rsidRPr="004D1AC3">
        <w:rPr>
          <w:szCs w:val="24"/>
        </w:rPr>
        <w:t xml:space="preserve"> which cannot be justified under s. 1 of the </w:t>
      </w:r>
      <w:r w:rsidR="0066579A" w:rsidRPr="00140063">
        <w:rPr>
          <w:i/>
          <w:iCs/>
          <w:szCs w:val="24"/>
        </w:rPr>
        <w:t>Charter</w:t>
      </w:r>
      <w:r w:rsidR="0066579A" w:rsidRPr="004D1AC3">
        <w:rPr>
          <w:szCs w:val="24"/>
        </w:rPr>
        <w:t>.</w:t>
      </w:r>
      <w:r w:rsidR="00100491" w:rsidRPr="00890A49">
        <w:rPr>
          <w:rStyle w:val="FootnoteReference"/>
          <w:szCs w:val="24"/>
        </w:rPr>
        <w:footnoteReference w:id="58"/>
      </w:r>
      <w:r w:rsidR="00507D26" w:rsidRPr="004D1AC3">
        <w:rPr>
          <w:szCs w:val="24"/>
        </w:rPr>
        <w:t xml:space="preserve"> Put simply</w:t>
      </w:r>
      <w:r w:rsidR="00C73F5C">
        <w:rPr>
          <w:szCs w:val="24"/>
        </w:rPr>
        <w:t>,</w:t>
      </w:r>
      <w:r w:rsidR="00507D26" w:rsidRPr="004D1AC3">
        <w:rPr>
          <w:szCs w:val="24"/>
        </w:rPr>
        <w:t xml:space="preserve"> we get the (higher threshold) of “substantial interference</w:t>
      </w:r>
      <w:r w:rsidR="00682F08">
        <w:rPr>
          <w:szCs w:val="24"/>
        </w:rPr>
        <w:t>”</w:t>
      </w:r>
      <w:r w:rsidR="00507D26" w:rsidRPr="004D1AC3">
        <w:rPr>
          <w:szCs w:val="24"/>
        </w:rPr>
        <w:t xml:space="preserve"> </w:t>
      </w:r>
      <w:r w:rsidR="00B47EB5" w:rsidRPr="004D1AC3">
        <w:rPr>
          <w:szCs w:val="24"/>
        </w:rPr>
        <w:t xml:space="preserve">because it was (at least perhaps) justified in </w:t>
      </w:r>
      <w:r w:rsidR="00C00FB3" w:rsidRPr="004D1AC3">
        <w:rPr>
          <w:szCs w:val="24"/>
        </w:rPr>
        <w:t xml:space="preserve">the type of case </w:t>
      </w:r>
      <w:r w:rsidR="00C00FB3" w:rsidRPr="006F10B1">
        <w:rPr>
          <w:i/>
          <w:iCs/>
          <w:szCs w:val="24"/>
        </w:rPr>
        <w:t>Dunmore</w:t>
      </w:r>
      <w:r w:rsidR="00350958" w:rsidRPr="00286802">
        <w:rPr>
          <w:rStyle w:val="FootnoteReference"/>
          <w:szCs w:val="24"/>
        </w:rPr>
        <w:footnoteReference w:id="59"/>
      </w:r>
      <w:r w:rsidR="00C00FB3" w:rsidRPr="004D1AC3">
        <w:rPr>
          <w:szCs w:val="24"/>
        </w:rPr>
        <w:t xml:space="preserve"> was </w:t>
      </w:r>
      <w:r w:rsidR="00572F8B" w:rsidRPr="00366C05">
        <w:rPr>
          <w:szCs w:val="24"/>
        </w:rPr>
        <w:t>—</w:t>
      </w:r>
      <w:r w:rsidR="00C00FB3" w:rsidRPr="004D1AC3">
        <w:rPr>
          <w:szCs w:val="24"/>
        </w:rPr>
        <w:t xml:space="preserve"> as case</w:t>
      </w:r>
      <w:r w:rsidR="00C73F5C">
        <w:rPr>
          <w:szCs w:val="24"/>
        </w:rPr>
        <w:t>s</w:t>
      </w:r>
      <w:r w:rsidR="00C00FB3" w:rsidRPr="004D1AC3">
        <w:rPr>
          <w:szCs w:val="24"/>
        </w:rPr>
        <w:t xml:space="preserve"> of the actions of private actors being the problem</w:t>
      </w:r>
      <w:r w:rsidR="001E1891">
        <w:rPr>
          <w:szCs w:val="24"/>
        </w:rPr>
        <w:t xml:space="preserve"> and being</w:t>
      </w:r>
      <w:r w:rsidR="00A94267">
        <w:rPr>
          <w:szCs w:val="24"/>
        </w:rPr>
        <w:t xml:space="preserve"> directly</w:t>
      </w:r>
      <w:r w:rsidR="001E1891">
        <w:rPr>
          <w:szCs w:val="24"/>
        </w:rPr>
        <w:t xml:space="preserve"> constitutionall</w:t>
      </w:r>
      <w:r w:rsidR="0034188C">
        <w:rPr>
          <w:szCs w:val="24"/>
        </w:rPr>
        <w:t>y</w:t>
      </w:r>
      <w:r w:rsidR="001E1891">
        <w:rPr>
          <w:szCs w:val="24"/>
        </w:rPr>
        <w:t xml:space="preserve"> regulated</w:t>
      </w:r>
      <w:r w:rsidR="00A94267">
        <w:rPr>
          <w:szCs w:val="24"/>
        </w:rPr>
        <w:t>.</w:t>
      </w:r>
      <w:r w:rsidR="00C00FB3" w:rsidRPr="004D1AC3">
        <w:rPr>
          <w:szCs w:val="24"/>
        </w:rPr>
        <w:t xml:space="preserve"> Not the state.</w:t>
      </w:r>
      <w:r w:rsidR="005D2940" w:rsidRPr="004D1AC3">
        <w:rPr>
          <w:szCs w:val="24"/>
        </w:rPr>
        <w:t xml:space="preserve"> Failure to make the distinction between private actor</w:t>
      </w:r>
      <w:r w:rsidR="009046A5">
        <w:rPr>
          <w:szCs w:val="24"/>
        </w:rPr>
        <w:t>s</w:t>
      </w:r>
      <w:r w:rsidR="005D2940" w:rsidRPr="004D1AC3">
        <w:rPr>
          <w:szCs w:val="24"/>
        </w:rPr>
        <w:t xml:space="preserve"> (please, state, go to bat for my freedom </w:t>
      </w:r>
      <w:r w:rsidR="00AE37CA" w:rsidRPr="004D1AC3">
        <w:rPr>
          <w:szCs w:val="24"/>
        </w:rPr>
        <w:t>against my employer) and state action (please, state, sto</w:t>
      </w:r>
      <w:r w:rsidR="00F6749A" w:rsidRPr="004D1AC3">
        <w:rPr>
          <w:szCs w:val="24"/>
        </w:rPr>
        <w:t>p</w:t>
      </w:r>
      <w:r w:rsidR="00AE37CA" w:rsidRPr="004D1AC3">
        <w:rPr>
          <w:szCs w:val="24"/>
        </w:rPr>
        <w:t xml:space="preserve"> taking a </w:t>
      </w:r>
      <w:r w:rsidR="00CF45B4" w:rsidRPr="004D1AC3">
        <w:rPr>
          <w:szCs w:val="24"/>
        </w:rPr>
        <w:t xml:space="preserve">bat to my </w:t>
      </w:r>
      <w:r w:rsidR="00F6749A" w:rsidRPr="004D1AC3">
        <w:rPr>
          <w:szCs w:val="24"/>
        </w:rPr>
        <w:t>freedom</w:t>
      </w:r>
      <w:r w:rsidR="00CF45B4" w:rsidRPr="004D1AC3">
        <w:rPr>
          <w:szCs w:val="24"/>
        </w:rPr>
        <w:t xml:space="preserve"> yourself) lies at the heart of the current disaster visited </w:t>
      </w:r>
      <w:r w:rsidR="00F6749A" w:rsidRPr="004D1AC3">
        <w:rPr>
          <w:szCs w:val="24"/>
        </w:rPr>
        <w:t>up</w:t>
      </w:r>
      <w:r w:rsidR="00CF45B4" w:rsidRPr="004D1AC3">
        <w:rPr>
          <w:szCs w:val="24"/>
        </w:rPr>
        <w:t xml:space="preserve">on </w:t>
      </w:r>
      <w:r w:rsidR="00890A49">
        <w:rPr>
          <w:szCs w:val="24"/>
        </w:rPr>
        <w:t xml:space="preserve">s. </w:t>
      </w:r>
      <w:r w:rsidR="00CF45B4" w:rsidRPr="004D1AC3">
        <w:rPr>
          <w:szCs w:val="24"/>
        </w:rPr>
        <w:t xml:space="preserve">2(d) by </w:t>
      </w:r>
      <w:r w:rsidR="00262ECA">
        <w:rPr>
          <w:i/>
          <w:iCs/>
        </w:rPr>
        <w:t>C</w:t>
      </w:r>
      <w:r w:rsidR="00262ECA" w:rsidRPr="007A4305">
        <w:rPr>
          <w:i/>
          <w:iCs/>
        </w:rPr>
        <w:t>asinos du Québec</w:t>
      </w:r>
      <w:r w:rsidR="00F6749A" w:rsidRPr="004D1AC3">
        <w:rPr>
          <w:szCs w:val="24"/>
        </w:rPr>
        <w:t>.</w:t>
      </w:r>
      <w:r w:rsidR="00100B94">
        <w:rPr>
          <w:szCs w:val="24"/>
        </w:rPr>
        <w:t xml:space="preserve"> In two sentences </w:t>
      </w:r>
      <w:r w:rsidR="003E77E8" w:rsidRPr="00366C05">
        <w:rPr>
          <w:szCs w:val="24"/>
        </w:rPr>
        <w:t>—</w:t>
      </w:r>
      <w:r w:rsidR="00100B94">
        <w:rPr>
          <w:szCs w:val="24"/>
        </w:rPr>
        <w:t xml:space="preserve"> Once </w:t>
      </w:r>
      <w:r w:rsidR="001254F0" w:rsidRPr="004D1AC3">
        <w:rPr>
          <w:szCs w:val="24"/>
        </w:rPr>
        <w:t xml:space="preserve">you take </w:t>
      </w:r>
      <w:r w:rsidR="001254F0" w:rsidRPr="006F10B1">
        <w:rPr>
          <w:i/>
          <w:iCs/>
          <w:szCs w:val="24"/>
        </w:rPr>
        <w:t>Dunmore</w:t>
      </w:r>
      <w:r w:rsidR="00286802" w:rsidRPr="001B544E">
        <w:rPr>
          <w:rStyle w:val="FootnoteReference"/>
          <w:szCs w:val="24"/>
        </w:rPr>
        <w:footnoteReference w:id="60"/>
      </w:r>
      <w:r w:rsidR="001254F0" w:rsidRPr="004D1AC3">
        <w:rPr>
          <w:szCs w:val="24"/>
        </w:rPr>
        <w:t xml:space="preserve"> as the foundation of all</w:t>
      </w:r>
      <w:r w:rsidR="00435475">
        <w:rPr>
          <w:szCs w:val="24"/>
        </w:rPr>
        <w:t>, i</w:t>
      </w:r>
      <w:r w:rsidR="00705A1D">
        <w:rPr>
          <w:szCs w:val="24"/>
        </w:rPr>
        <w:t>.</w:t>
      </w:r>
      <w:r w:rsidR="00435475">
        <w:rPr>
          <w:szCs w:val="24"/>
        </w:rPr>
        <w:t>e</w:t>
      </w:r>
      <w:r w:rsidR="00705A1D">
        <w:rPr>
          <w:szCs w:val="24"/>
        </w:rPr>
        <w:t>.</w:t>
      </w:r>
      <w:r w:rsidR="00435475">
        <w:rPr>
          <w:szCs w:val="24"/>
        </w:rPr>
        <w:t xml:space="preserve"> bot</w:t>
      </w:r>
      <w:r w:rsidR="00705A1D">
        <w:rPr>
          <w:szCs w:val="24"/>
        </w:rPr>
        <w:t>h</w:t>
      </w:r>
      <w:r w:rsidR="00435475">
        <w:rPr>
          <w:szCs w:val="24"/>
        </w:rPr>
        <w:t xml:space="preserve"> types of</w:t>
      </w:r>
      <w:r w:rsidR="001254F0" w:rsidRPr="004D1AC3">
        <w:rPr>
          <w:szCs w:val="24"/>
        </w:rPr>
        <w:t xml:space="preserve"> </w:t>
      </w:r>
      <w:r w:rsidR="002D6FA2">
        <w:rPr>
          <w:szCs w:val="24"/>
        </w:rPr>
        <w:t>2 (d) cases</w:t>
      </w:r>
      <w:r w:rsidR="001254F0" w:rsidRPr="004D1AC3">
        <w:rPr>
          <w:szCs w:val="24"/>
        </w:rPr>
        <w:t>, we are in trouble</w:t>
      </w:r>
      <w:r w:rsidR="00435475">
        <w:rPr>
          <w:szCs w:val="24"/>
        </w:rPr>
        <w:t>.</w:t>
      </w:r>
      <w:r w:rsidR="002D6FA2">
        <w:rPr>
          <w:szCs w:val="24"/>
        </w:rPr>
        <w:t xml:space="preserve"> We get a completely </w:t>
      </w:r>
      <w:r w:rsidR="004443A2">
        <w:rPr>
          <w:szCs w:val="24"/>
        </w:rPr>
        <w:t>unjustified</w:t>
      </w:r>
      <w:r w:rsidR="002D6FA2">
        <w:rPr>
          <w:szCs w:val="24"/>
        </w:rPr>
        <w:t xml:space="preserve"> “higher” standard for </w:t>
      </w:r>
      <w:r w:rsidR="00070AFE">
        <w:rPr>
          <w:szCs w:val="24"/>
        </w:rPr>
        <w:t xml:space="preserve">straightforward </w:t>
      </w:r>
      <w:r w:rsidR="002D6FA2">
        <w:rPr>
          <w:szCs w:val="24"/>
        </w:rPr>
        <w:t>state violation</w:t>
      </w:r>
      <w:r w:rsidR="00070AFE">
        <w:rPr>
          <w:szCs w:val="24"/>
        </w:rPr>
        <w:t>s</w:t>
      </w:r>
      <w:r w:rsidR="004443A2">
        <w:rPr>
          <w:szCs w:val="24"/>
        </w:rPr>
        <w:t xml:space="preserve"> of the freedom.</w:t>
      </w:r>
      <w:r w:rsidR="00037C0D">
        <w:rPr>
          <w:rStyle w:val="FootnoteReference"/>
          <w:szCs w:val="24"/>
        </w:rPr>
        <w:footnoteReference w:id="61"/>
      </w:r>
    </w:p>
    <w:p w14:paraId="18868278" w14:textId="77777777" w:rsidR="00ED27BC" w:rsidRDefault="00ED27BC" w:rsidP="000730C6">
      <w:pPr>
        <w:spacing w:line="240" w:lineRule="auto"/>
        <w:rPr>
          <w:szCs w:val="24"/>
        </w:rPr>
      </w:pPr>
    </w:p>
    <w:p w14:paraId="2A6B09FA" w14:textId="69210886" w:rsidR="00927431" w:rsidRPr="000122B3" w:rsidRDefault="000122B3" w:rsidP="000122B3">
      <w:pPr>
        <w:pStyle w:val="ListParagraph"/>
        <w:numPr>
          <w:ilvl w:val="0"/>
          <w:numId w:val="2"/>
        </w:numPr>
        <w:spacing w:line="240" w:lineRule="auto"/>
        <w:rPr>
          <w:b/>
          <w:bCs/>
          <w:szCs w:val="24"/>
        </w:rPr>
      </w:pPr>
      <w:r w:rsidRPr="000122B3">
        <w:rPr>
          <w:b/>
          <w:bCs/>
          <w:szCs w:val="24"/>
        </w:rPr>
        <w:t xml:space="preserve">The </w:t>
      </w:r>
      <w:r>
        <w:rPr>
          <w:b/>
          <w:bCs/>
          <w:szCs w:val="24"/>
        </w:rPr>
        <w:t xml:space="preserve">(unused) </w:t>
      </w:r>
      <w:r w:rsidRPr="000122B3">
        <w:rPr>
          <w:b/>
          <w:bCs/>
          <w:szCs w:val="24"/>
        </w:rPr>
        <w:t>life preserver of s. 15</w:t>
      </w:r>
    </w:p>
    <w:p w14:paraId="4BFF5E24" w14:textId="257F945A" w:rsidR="00396646" w:rsidRDefault="00396646" w:rsidP="000730C6">
      <w:pPr>
        <w:spacing w:line="240" w:lineRule="auto"/>
        <w:rPr>
          <w:szCs w:val="24"/>
        </w:rPr>
      </w:pPr>
      <w:r>
        <w:rPr>
          <w:szCs w:val="24"/>
        </w:rPr>
        <w:t xml:space="preserve">But there is more. </w:t>
      </w:r>
      <w:r w:rsidR="00BB561A">
        <w:rPr>
          <w:szCs w:val="24"/>
        </w:rPr>
        <w:t xml:space="preserve">Seeing the origins </w:t>
      </w:r>
      <w:r w:rsidR="00C57C96">
        <w:rPr>
          <w:szCs w:val="24"/>
        </w:rPr>
        <w:t>of</w:t>
      </w:r>
      <w:r w:rsidR="003146C6">
        <w:rPr>
          <w:szCs w:val="24"/>
        </w:rPr>
        <w:t>,</w:t>
      </w:r>
      <w:r w:rsidR="00C57C96">
        <w:rPr>
          <w:szCs w:val="24"/>
        </w:rPr>
        <w:t xml:space="preserve"> </w:t>
      </w:r>
      <w:r w:rsidR="00BB561A">
        <w:rPr>
          <w:szCs w:val="24"/>
        </w:rPr>
        <w:t xml:space="preserve">and revealing </w:t>
      </w:r>
      <w:r>
        <w:rPr>
          <w:szCs w:val="24"/>
        </w:rPr>
        <w:t xml:space="preserve">the problem </w:t>
      </w:r>
      <w:r w:rsidR="00C57C96">
        <w:rPr>
          <w:szCs w:val="24"/>
        </w:rPr>
        <w:t>with</w:t>
      </w:r>
      <w:r w:rsidR="003146C6">
        <w:rPr>
          <w:szCs w:val="24"/>
        </w:rPr>
        <w:t>,</w:t>
      </w:r>
      <w:r>
        <w:rPr>
          <w:szCs w:val="24"/>
        </w:rPr>
        <w:t xml:space="preserve"> the single (“substantial interference”</w:t>
      </w:r>
      <w:r w:rsidR="00115211">
        <w:rPr>
          <w:szCs w:val="24"/>
        </w:rPr>
        <w:t>) test</w:t>
      </w:r>
      <w:r>
        <w:rPr>
          <w:szCs w:val="24"/>
        </w:rPr>
        <w:t xml:space="preserve"> for all </w:t>
      </w:r>
      <w:r w:rsidR="00312F73">
        <w:rPr>
          <w:szCs w:val="24"/>
        </w:rPr>
        <w:t xml:space="preserve">s. </w:t>
      </w:r>
      <w:r>
        <w:rPr>
          <w:szCs w:val="24"/>
        </w:rPr>
        <w:t>2 (d) violations</w:t>
      </w:r>
      <w:r w:rsidR="00115211">
        <w:rPr>
          <w:szCs w:val="24"/>
        </w:rPr>
        <w:t xml:space="preserve"> </w:t>
      </w:r>
      <w:r w:rsidR="00F14CF0" w:rsidRPr="00070AFE">
        <w:t>—</w:t>
      </w:r>
      <w:r w:rsidR="00115211">
        <w:rPr>
          <w:szCs w:val="24"/>
        </w:rPr>
        <w:t xml:space="preserve"> </w:t>
      </w:r>
      <w:r w:rsidR="00C57C96">
        <w:rPr>
          <w:szCs w:val="24"/>
        </w:rPr>
        <w:t xml:space="preserve">that is, </w:t>
      </w:r>
      <w:r w:rsidR="00115211">
        <w:rPr>
          <w:szCs w:val="24"/>
        </w:rPr>
        <w:t xml:space="preserve">seeing it for what it </w:t>
      </w:r>
      <w:r w:rsidR="00131D6C">
        <w:rPr>
          <w:szCs w:val="24"/>
        </w:rPr>
        <w:t>is (</w:t>
      </w:r>
      <w:r w:rsidR="00115211">
        <w:rPr>
          <w:szCs w:val="24"/>
        </w:rPr>
        <w:t xml:space="preserve">a double </w:t>
      </w:r>
      <w:r w:rsidR="00F14CF0">
        <w:rPr>
          <w:szCs w:val="24"/>
        </w:rPr>
        <w:t xml:space="preserve">standard) </w:t>
      </w:r>
      <w:r w:rsidR="00F14CF0" w:rsidRPr="00070AFE">
        <w:t>—</w:t>
      </w:r>
      <w:r w:rsidR="00C57C96">
        <w:rPr>
          <w:szCs w:val="24"/>
        </w:rPr>
        <w:t xml:space="preserve"> </w:t>
      </w:r>
      <w:r w:rsidR="005C4B1C">
        <w:rPr>
          <w:szCs w:val="24"/>
        </w:rPr>
        <w:t>is worth doing.</w:t>
      </w:r>
      <w:r w:rsidR="00D32526">
        <w:rPr>
          <w:szCs w:val="24"/>
        </w:rPr>
        <w:t xml:space="preserve"> But</w:t>
      </w:r>
      <w:r w:rsidR="003146C6">
        <w:rPr>
          <w:szCs w:val="24"/>
        </w:rPr>
        <w:t xml:space="preserve"> </w:t>
      </w:r>
      <w:r w:rsidR="00D32526">
        <w:rPr>
          <w:szCs w:val="24"/>
        </w:rPr>
        <w:t>t</w:t>
      </w:r>
      <w:r w:rsidR="003146C6">
        <w:rPr>
          <w:szCs w:val="24"/>
        </w:rPr>
        <w:t xml:space="preserve">his is all internal to </w:t>
      </w:r>
      <w:r w:rsidR="00312F73">
        <w:rPr>
          <w:szCs w:val="24"/>
        </w:rPr>
        <w:t xml:space="preserve">s. </w:t>
      </w:r>
      <w:r w:rsidR="003146C6">
        <w:rPr>
          <w:szCs w:val="24"/>
        </w:rPr>
        <w:t xml:space="preserve">2 (d). </w:t>
      </w:r>
      <w:r w:rsidR="00857C14">
        <w:rPr>
          <w:szCs w:val="24"/>
        </w:rPr>
        <w:t>It</w:t>
      </w:r>
      <w:r w:rsidR="00131D6C">
        <w:rPr>
          <w:szCs w:val="24"/>
        </w:rPr>
        <w:t xml:space="preserve"> i</w:t>
      </w:r>
      <w:r w:rsidR="00857C14">
        <w:rPr>
          <w:szCs w:val="24"/>
        </w:rPr>
        <w:t>s</w:t>
      </w:r>
      <w:r w:rsidR="003146C6">
        <w:rPr>
          <w:szCs w:val="24"/>
        </w:rPr>
        <w:t xml:space="preserve"> </w:t>
      </w:r>
      <w:r w:rsidR="002A2E42">
        <w:rPr>
          <w:szCs w:val="24"/>
        </w:rPr>
        <w:t xml:space="preserve">about </w:t>
      </w:r>
      <w:r w:rsidR="00D32526">
        <w:rPr>
          <w:szCs w:val="24"/>
        </w:rPr>
        <w:t>getting</w:t>
      </w:r>
      <w:r w:rsidR="003146C6">
        <w:rPr>
          <w:szCs w:val="24"/>
        </w:rPr>
        <w:t xml:space="preserve"> </w:t>
      </w:r>
      <w:r w:rsidR="00312F73">
        <w:rPr>
          <w:szCs w:val="24"/>
        </w:rPr>
        <w:t xml:space="preserve">s. </w:t>
      </w:r>
      <w:r w:rsidR="00D32526">
        <w:rPr>
          <w:szCs w:val="24"/>
        </w:rPr>
        <w:t>2(d) right</w:t>
      </w:r>
      <w:r w:rsidR="003146C6">
        <w:rPr>
          <w:szCs w:val="24"/>
        </w:rPr>
        <w:t xml:space="preserve">. </w:t>
      </w:r>
      <w:r w:rsidR="00BC5432">
        <w:rPr>
          <w:szCs w:val="24"/>
        </w:rPr>
        <w:t>But o</w:t>
      </w:r>
      <w:r w:rsidR="003146C6">
        <w:rPr>
          <w:szCs w:val="24"/>
        </w:rPr>
        <w:t xml:space="preserve">ur real </w:t>
      </w:r>
      <w:r w:rsidR="00857C14">
        <w:rPr>
          <w:szCs w:val="24"/>
        </w:rPr>
        <w:t>problem</w:t>
      </w:r>
      <w:r w:rsidR="003146C6">
        <w:rPr>
          <w:szCs w:val="24"/>
        </w:rPr>
        <w:t xml:space="preserve"> is that this is not our real </w:t>
      </w:r>
      <w:r w:rsidR="00857C14">
        <w:rPr>
          <w:szCs w:val="24"/>
        </w:rPr>
        <w:t>problem.</w:t>
      </w:r>
    </w:p>
    <w:p w14:paraId="7B1419FB" w14:textId="617034F5" w:rsidR="000730C6" w:rsidRDefault="000730C6" w:rsidP="000730C6">
      <w:pPr>
        <w:spacing w:line="240" w:lineRule="auto"/>
        <w:rPr>
          <w:szCs w:val="24"/>
        </w:rPr>
      </w:pPr>
    </w:p>
    <w:p w14:paraId="16C8B625" w14:textId="63DD7D05" w:rsidR="00F24A98" w:rsidRDefault="00BC5432" w:rsidP="000730C6">
      <w:pPr>
        <w:spacing w:line="240" w:lineRule="auto"/>
        <w:rPr>
          <w:szCs w:val="24"/>
        </w:rPr>
      </w:pPr>
      <w:r>
        <w:rPr>
          <w:szCs w:val="24"/>
        </w:rPr>
        <w:t>Here</w:t>
      </w:r>
      <w:r w:rsidR="004443A2">
        <w:rPr>
          <w:szCs w:val="24"/>
        </w:rPr>
        <w:t xml:space="preserve"> is the </w:t>
      </w:r>
      <w:r w:rsidR="0022742B">
        <w:rPr>
          <w:szCs w:val="24"/>
        </w:rPr>
        <w:t>really big</w:t>
      </w:r>
      <w:r w:rsidR="004443A2">
        <w:rPr>
          <w:szCs w:val="24"/>
        </w:rPr>
        <w:t xml:space="preserve"> point. These problems with </w:t>
      </w:r>
      <w:r w:rsidR="009751DD">
        <w:rPr>
          <w:szCs w:val="24"/>
        </w:rPr>
        <w:t>the Court</w:t>
      </w:r>
      <w:r w:rsidR="00BF2E29">
        <w:rPr>
          <w:szCs w:val="24"/>
        </w:rPr>
        <w:t>’</w:t>
      </w:r>
      <w:r w:rsidR="009751DD">
        <w:rPr>
          <w:szCs w:val="24"/>
        </w:rPr>
        <w:t xml:space="preserve">s understanding of </w:t>
      </w:r>
      <w:r w:rsidR="00890A49">
        <w:rPr>
          <w:szCs w:val="24"/>
        </w:rPr>
        <w:t xml:space="preserve">s. </w:t>
      </w:r>
      <w:r w:rsidR="004443A2">
        <w:rPr>
          <w:szCs w:val="24"/>
        </w:rPr>
        <w:t xml:space="preserve">2(d) </w:t>
      </w:r>
      <w:r w:rsidR="004E760D">
        <w:rPr>
          <w:szCs w:val="24"/>
        </w:rPr>
        <w:t>are very real and very large. But the still la</w:t>
      </w:r>
      <w:r w:rsidR="00037C0D">
        <w:rPr>
          <w:szCs w:val="24"/>
        </w:rPr>
        <w:t>r</w:t>
      </w:r>
      <w:r w:rsidR="004E760D">
        <w:rPr>
          <w:szCs w:val="24"/>
        </w:rPr>
        <w:t>ger p</w:t>
      </w:r>
      <w:r w:rsidR="00546BEC">
        <w:rPr>
          <w:szCs w:val="24"/>
        </w:rPr>
        <w:t>oint is that they are completely unnecessary.</w:t>
      </w:r>
      <w:r w:rsidR="007614B2" w:rsidRPr="004D1AC3">
        <w:rPr>
          <w:szCs w:val="24"/>
        </w:rPr>
        <w:t xml:space="preserve"> We can se</w:t>
      </w:r>
      <w:r w:rsidR="00EC58E9" w:rsidRPr="004D1AC3">
        <w:rPr>
          <w:szCs w:val="24"/>
        </w:rPr>
        <w:t>e</w:t>
      </w:r>
      <w:r w:rsidR="007614B2" w:rsidRPr="004D1AC3">
        <w:rPr>
          <w:szCs w:val="24"/>
        </w:rPr>
        <w:t xml:space="preserve"> th</w:t>
      </w:r>
      <w:r w:rsidR="00EC58E9" w:rsidRPr="004D1AC3">
        <w:rPr>
          <w:szCs w:val="24"/>
        </w:rPr>
        <w:t>at the</w:t>
      </w:r>
      <w:r w:rsidR="007614B2" w:rsidRPr="004D1AC3">
        <w:rPr>
          <w:szCs w:val="24"/>
        </w:rPr>
        <w:t xml:space="preserve"> really large</w:t>
      </w:r>
      <w:r w:rsidR="00EC58E9" w:rsidRPr="004D1AC3">
        <w:rPr>
          <w:szCs w:val="24"/>
        </w:rPr>
        <w:t xml:space="preserve"> </w:t>
      </w:r>
      <w:r w:rsidR="00004D75" w:rsidRPr="004D1AC3">
        <w:rPr>
          <w:szCs w:val="24"/>
        </w:rPr>
        <w:t>constitutional mess being w</w:t>
      </w:r>
      <w:r w:rsidR="00F24A98" w:rsidRPr="004D1AC3">
        <w:rPr>
          <w:szCs w:val="24"/>
        </w:rPr>
        <w:t xml:space="preserve">orked upon and </w:t>
      </w:r>
      <w:r w:rsidR="009A1D7F" w:rsidRPr="004D1AC3">
        <w:rPr>
          <w:szCs w:val="24"/>
        </w:rPr>
        <w:t>enlarged</w:t>
      </w:r>
      <w:r w:rsidR="00F24A98" w:rsidRPr="004D1AC3">
        <w:rPr>
          <w:szCs w:val="24"/>
        </w:rPr>
        <w:t xml:space="preserve"> in </w:t>
      </w:r>
      <w:r w:rsidR="00F24A98" w:rsidRPr="004D1AC3">
        <w:rPr>
          <w:i/>
          <w:iCs/>
          <w:szCs w:val="24"/>
        </w:rPr>
        <w:t>Casinos</w:t>
      </w:r>
      <w:r w:rsidR="00EC58E9" w:rsidRPr="004D1AC3">
        <w:rPr>
          <w:szCs w:val="24"/>
        </w:rPr>
        <w:t xml:space="preserve"> </w:t>
      </w:r>
      <w:r w:rsidR="004D0480" w:rsidRPr="004D0480">
        <w:rPr>
          <w:i/>
          <w:iCs/>
          <w:szCs w:val="24"/>
        </w:rPr>
        <w:t>de Quebec</w:t>
      </w:r>
      <w:r w:rsidR="004D0480">
        <w:rPr>
          <w:szCs w:val="24"/>
        </w:rPr>
        <w:t xml:space="preserve"> </w:t>
      </w:r>
      <w:r w:rsidR="00EC58E9" w:rsidRPr="004D1AC3">
        <w:rPr>
          <w:szCs w:val="24"/>
        </w:rPr>
        <w:t xml:space="preserve">has </w:t>
      </w:r>
      <w:r w:rsidR="00C24FFB" w:rsidRPr="004D1AC3">
        <w:rPr>
          <w:szCs w:val="24"/>
        </w:rPr>
        <w:t>its origins and development</w:t>
      </w:r>
      <w:r w:rsidR="001254F0" w:rsidRPr="004D1AC3">
        <w:rPr>
          <w:szCs w:val="24"/>
        </w:rPr>
        <w:t xml:space="preserve"> in </w:t>
      </w:r>
      <w:r w:rsidR="006F10B1" w:rsidRPr="00636447">
        <w:rPr>
          <w:i/>
          <w:iCs/>
          <w:szCs w:val="24"/>
        </w:rPr>
        <w:t>Dunmore</w:t>
      </w:r>
      <w:r w:rsidR="001254F0" w:rsidRPr="004D1AC3">
        <w:rPr>
          <w:szCs w:val="24"/>
        </w:rPr>
        <w:t xml:space="preserve">’s inability to </w:t>
      </w:r>
      <w:r w:rsidR="00D978C2">
        <w:rPr>
          <w:szCs w:val="24"/>
        </w:rPr>
        <w:t xml:space="preserve">treat </w:t>
      </w:r>
      <w:r w:rsidR="001254F0" w:rsidRPr="004D1AC3">
        <w:rPr>
          <w:szCs w:val="24"/>
        </w:rPr>
        <w:t>the case</w:t>
      </w:r>
      <w:r w:rsidR="00D978C2">
        <w:rPr>
          <w:szCs w:val="24"/>
        </w:rPr>
        <w:t xml:space="preserve"> for what it really was </w:t>
      </w:r>
      <w:r w:rsidR="000D6331" w:rsidRPr="00366C05">
        <w:rPr>
          <w:szCs w:val="24"/>
        </w:rPr>
        <w:t>—</w:t>
      </w:r>
      <w:r w:rsidR="000D6331">
        <w:rPr>
          <w:szCs w:val="24"/>
        </w:rPr>
        <w:t xml:space="preserve"> </w:t>
      </w:r>
      <w:r w:rsidR="000D6331" w:rsidRPr="004D1AC3">
        <w:rPr>
          <w:szCs w:val="24"/>
        </w:rPr>
        <w:t>as</w:t>
      </w:r>
      <w:r w:rsidR="001254F0" w:rsidRPr="004D1AC3">
        <w:rPr>
          <w:szCs w:val="24"/>
        </w:rPr>
        <w:t xml:space="preserve"> an equality, </w:t>
      </w:r>
      <w:r w:rsidR="00506D38" w:rsidRPr="004D1AC3">
        <w:rPr>
          <w:szCs w:val="24"/>
        </w:rPr>
        <w:t>i.e.</w:t>
      </w:r>
      <w:r w:rsidR="001254F0" w:rsidRPr="004D1AC3">
        <w:rPr>
          <w:szCs w:val="24"/>
        </w:rPr>
        <w:t xml:space="preserve"> s. 15 case.</w:t>
      </w:r>
      <w:r w:rsidR="002F01CE" w:rsidRPr="004D1AC3">
        <w:rPr>
          <w:szCs w:val="24"/>
        </w:rPr>
        <w:t xml:space="preserve"> The reading down of s.15 from an equality provision to a no</w:t>
      </w:r>
      <w:r w:rsidR="006959E7" w:rsidRPr="004D1AC3">
        <w:rPr>
          <w:szCs w:val="24"/>
        </w:rPr>
        <w:t>n-</w:t>
      </w:r>
      <w:r w:rsidR="003206BD" w:rsidRPr="004D1AC3">
        <w:rPr>
          <w:szCs w:val="24"/>
        </w:rPr>
        <w:lastRenderedPageBreak/>
        <w:t>discrimination</w:t>
      </w:r>
      <w:r w:rsidR="006959E7" w:rsidRPr="004D1AC3">
        <w:rPr>
          <w:szCs w:val="24"/>
        </w:rPr>
        <w:t xml:space="preserve"> provision is the real and </w:t>
      </w:r>
      <w:r w:rsidR="002F690E" w:rsidRPr="004D1AC3">
        <w:rPr>
          <w:szCs w:val="24"/>
        </w:rPr>
        <w:t>v</w:t>
      </w:r>
      <w:r w:rsidR="006959E7" w:rsidRPr="004D1AC3">
        <w:rPr>
          <w:szCs w:val="24"/>
        </w:rPr>
        <w:t>ery basic problem.</w:t>
      </w:r>
      <w:r w:rsidR="00BB6A45">
        <w:rPr>
          <w:rStyle w:val="FootnoteReference"/>
          <w:szCs w:val="24"/>
        </w:rPr>
        <w:footnoteReference w:id="62"/>
      </w:r>
      <w:r w:rsidR="006959E7" w:rsidRPr="004D1AC3">
        <w:rPr>
          <w:szCs w:val="24"/>
        </w:rPr>
        <w:t xml:space="preserve"> </w:t>
      </w:r>
      <w:r w:rsidR="003206BD" w:rsidRPr="00636447">
        <w:rPr>
          <w:i/>
          <w:iCs/>
          <w:szCs w:val="24"/>
        </w:rPr>
        <w:t>Dunmore</w:t>
      </w:r>
      <w:r w:rsidR="001B544E">
        <w:rPr>
          <w:szCs w:val="24"/>
        </w:rPr>
        <w:t>,</w:t>
      </w:r>
      <w:r w:rsidR="005E5D75" w:rsidRPr="001B544E">
        <w:rPr>
          <w:rStyle w:val="FootnoteReference"/>
          <w:szCs w:val="24"/>
        </w:rPr>
        <w:footnoteReference w:id="63"/>
      </w:r>
      <w:r w:rsidR="006959E7" w:rsidRPr="004D1AC3">
        <w:rPr>
          <w:szCs w:val="24"/>
        </w:rPr>
        <w:t xml:space="preserve"> and all our cases</w:t>
      </w:r>
      <w:r w:rsidR="003206BD" w:rsidRPr="004D1AC3">
        <w:rPr>
          <w:szCs w:val="24"/>
        </w:rPr>
        <w:t>,</w:t>
      </w:r>
      <w:r w:rsidR="006959E7" w:rsidRPr="004D1AC3">
        <w:rPr>
          <w:szCs w:val="24"/>
        </w:rPr>
        <w:t xml:space="preserve"> are very simple </w:t>
      </w:r>
      <w:r w:rsidR="00506D38" w:rsidRPr="00366C05">
        <w:rPr>
          <w:szCs w:val="24"/>
        </w:rPr>
        <w:t>—</w:t>
      </w:r>
      <w:r w:rsidR="006959E7" w:rsidRPr="004D1AC3">
        <w:rPr>
          <w:szCs w:val="24"/>
        </w:rPr>
        <w:t xml:space="preserve"> if we could escape this current legal </w:t>
      </w:r>
      <w:r w:rsidR="003206BD" w:rsidRPr="004D1AC3">
        <w:rPr>
          <w:szCs w:val="24"/>
        </w:rPr>
        <w:t xml:space="preserve">conception of s.15. </w:t>
      </w:r>
      <w:r w:rsidR="00D978C2">
        <w:rPr>
          <w:szCs w:val="24"/>
        </w:rPr>
        <w:t xml:space="preserve">We could leave </w:t>
      </w:r>
      <w:r w:rsidR="00890A49">
        <w:rPr>
          <w:szCs w:val="24"/>
        </w:rPr>
        <w:t>s.</w:t>
      </w:r>
      <w:r w:rsidR="00312F73">
        <w:rPr>
          <w:szCs w:val="24"/>
        </w:rPr>
        <w:t xml:space="preserve"> </w:t>
      </w:r>
      <w:r w:rsidR="00D978C2">
        <w:rPr>
          <w:szCs w:val="24"/>
        </w:rPr>
        <w:t>2(d) alone, at least for now</w:t>
      </w:r>
      <w:r w:rsidR="009A39D9">
        <w:rPr>
          <w:szCs w:val="24"/>
        </w:rPr>
        <w:t xml:space="preserve">. We could avoid the </w:t>
      </w:r>
      <w:r w:rsidR="00C76E85">
        <w:rPr>
          <w:szCs w:val="24"/>
        </w:rPr>
        <w:t>parallel</w:t>
      </w:r>
      <w:r w:rsidR="009A39D9">
        <w:rPr>
          <w:szCs w:val="24"/>
        </w:rPr>
        <w:t xml:space="preserve"> and unequal universes of the legal instantiation of our fundamental freedom of association. </w:t>
      </w:r>
      <w:r w:rsidR="003206BD" w:rsidRPr="004D1AC3">
        <w:rPr>
          <w:szCs w:val="24"/>
        </w:rPr>
        <w:t xml:space="preserve">In </w:t>
      </w:r>
      <w:r w:rsidR="003206BD" w:rsidRPr="006F10B1">
        <w:rPr>
          <w:i/>
          <w:iCs/>
          <w:szCs w:val="24"/>
        </w:rPr>
        <w:t>Dunmore</w:t>
      </w:r>
      <w:r w:rsidR="001B544E" w:rsidRPr="00864C93">
        <w:rPr>
          <w:rStyle w:val="FootnoteReference"/>
          <w:szCs w:val="24"/>
        </w:rPr>
        <w:footnoteReference w:id="64"/>
      </w:r>
      <w:r w:rsidR="003206BD" w:rsidRPr="004D1AC3">
        <w:rPr>
          <w:szCs w:val="24"/>
        </w:rPr>
        <w:t xml:space="preserve"> itself </w:t>
      </w:r>
      <w:r w:rsidR="00C37149" w:rsidRPr="004D1AC3">
        <w:rPr>
          <w:szCs w:val="24"/>
        </w:rPr>
        <w:t>the court stumbled very close to this truth</w:t>
      </w:r>
      <w:r w:rsidR="00512EEC" w:rsidRPr="004D1AC3">
        <w:rPr>
          <w:szCs w:val="24"/>
        </w:rPr>
        <w:t xml:space="preserve"> and an important </w:t>
      </w:r>
      <w:r w:rsidR="008236AE" w:rsidRPr="004D1AC3">
        <w:rPr>
          <w:szCs w:val="24"/>
        </w:rPr>
        <w:t>passage</w:t>
      </w:r>
      <w:r w:rsidR="00512EEC" w:rsidRPr="004D1AC3">
        <w:rPr>
          <w:szCs w:val="24"/>
        </w:rPr>
        <w:t xml:space="preserve"> from the case is quoted in </w:t>
      </w:r>
      <w:r w:rsidR="00262ECA">
        <w:rPr>
          <w:i/>
          <w:iCs/>
        </w:rPr>
        <w:t>C</w:t>
      </w:r>
      <w:r w:rsidR="00262ECA" w:rsidRPr="007A4305">
        <w:rPr>
          <w:i/>
          <w:iCs/>
        </w:rPr>
        <w:t>asinos du Québec</w:t>
      </w:r>
      <w:r w:rsidR="00512EEC" w:rsidRPr="004D1AC3">
        <w:rPr>
          <w:szCs w:val="24"/>
        </w:rPr>
        <w:t>:</w:t>
      </w:r>
    </w:p>
    <w:p w14:paraId="3FF7EFB5" w14:textId="77777777" w:rsidR="000730C6" w:rsidRPr="004D1AC3" w:rsidRDefault="000730C6" w:rsidP="000730C6">
      <w:pPr>
        <w:spacing w:line="240" w:lineRule="auto"/>
        <w:rPr>
          <w:szCs w:val="24"/>
        </w:rPr>
      </w:pPr>
    </w:p>
    <w:p w14:paraId="627FE7B3" w14:textId="32FFF831" w:rsidR="00512EEC" w:rsidRPr="004D1AC3" w:rsidRDefault="00316702" w:rsidP="000730C6">
      <w:pPr>
        <w:spacing w:line="240" w:lineRule="auto"/>
        <w:ind w:left="720"/>
        <w:rPr>
          <w:b/>
          <w:bCs/>
          <w:szCs w:val="24"/>
        </w:rPr>
      </w:pPr>
      <w:r>
        <w:rPr>
          <w:szCs w:val="24"/>
        </w:rPr>
        <w:t>[D]</w:t>
      </w:r>
      <w:proofErr w:type="spellStart"/>
      <w:r w:rsidR="00512EEC" w:rsidRPr="004D1AC3">
        <w:rPr>
          <w:szCs w:val="24"/>
        </w:rPr>
        <w:t>epending</w:t>
      </w:r>
      <w:proofErr w:type="spellEnd"/>
      <w:r w:rsidR="00512EEC" w:rsidRPr="004D1AC3">
        <w:rPr>
          <w:szCs w:val="24"/>
        </w:rPr>
        <w:t xml:space="preserve"> on the circumstances, freedom of association may, for example, prohibit the selective exclusion of a group from whatever protections are necessary to form and maintain an association, </w:t>
      </w:r>
      <w:r w:rsidR="00512EEC" w:rsidRPr="004D1AC3">
        <w:rPr>
          <w:b/>
          <w:bCs/>
          <w:szCs w:val="24"/>
        </w:rPr>
        <w:t>even though there is no constitutional right to such statutory protection per se</w:t>
      </w:r>
      <w:r w:rsidR="00705A1D" w:rsidRPr="00705A1D">
        <w:rPr>
          <w:szCs w:val="24"/>
        </w:rPr>
        <w:t>.</w:t>
      </w:r>
      <w:r w:rsidR="00BE774F" w:rsidRPr="00705A1D">
        <w:rPr>
          <w:rStyle w:val="FootnoteReference"/>
          <w:szCs w:val="24"/>
        </w:rPr>
        <w:footnoteReference w:id="65"/>
      </w:r>
      <w:r w:rsidR="008406DE">
        <w:rPr>
          <w:szCs w:val="24"/>
        </w:rPr>
        <w:t xml:space="preserve"> </w:t>
      </w:r>
    </w:p>
    <w:p w14:paraId="5A6B1AC2" w14:textId="77777777" w:rsidR="00BE774F" w:rsidRPr="004D1AC3" w:rsidRDefault="00BE774F" w:rsidP="000730C6">
      <w:pPr>
        <w:spacing w:line="240" w:lineRule="auto"/>
        <w:ind w:left="720"/>
        <w:rPr>
          <w:b/>
          <w:bCs/>
          <w:szCs w:val="24"/>
        </w:rPr>
      </w:pPr>
    </w:p>
    <w:p w14:paraId="2A34A91F" w14:textId="41250AE3" w:rsidR="00BE774F" w:rsidRPr="004D1AC3" w:rsidRDefault="00BE774F" w:rsidP="000730C6">
      <w:pPr>
        <w:spacing w:line="240" w:lineRule="auto"/>
        <w:rPr>
          <w:szCs w:val="24"/>
        </w:rPr>
      </w:pPr>
      <w:r w:rsidRPr="004D1AC3">
        <w:rPr>
          <w:szCs w:val="24"/>
        </w:rPr>
        <w:t xml:space="preserve">The </w:t>
      </w:r>
      <w:r w:rsidR="009A39D9">
        <w:rPr>
          <w:szCs w:val="24"/>
        </w:rPr>
        <w:t xml:space="preserve">emphasized </w:t>
      </w:r>
      <w:r w:rsidRPr="004D1AC3">
        <w:rPr>
          <w:szCs w:val="24"/>
        </w:rPr>
        <w:t xml:space="preserve">words in bold are the keywords. The SCC </w:t>
      </w:r>
      <w:r w:rsidR="0052046E">
        <w:rPr>
          <w:szCs w:val="24"/>
        </w:rPr>
        <w:t xml:space="preserve">in </w:t>
      </w:r>
      <w:r w:rsidR="00262ECA">
        <w:rPr>
          <w:i/>
          <w:iCs/>
        </w:rPr>
        <w:t>C</w:t>
      </w:r>
      <w:r w:rsidR="00262ECA" w:rsidRPr="007A4305">
        <w:rPr>
          <w:i/>
          <w:iCs/>
        </w:rPr>
        <w:t>asinos du Québec</w:t>
      </w:r>
      <w:r w:rsidR="0052046E">
        <w:rPr>
          <w:szCs w:val="24"/>
        </w:rPr>
        <w:t xml:space="preserve"> </w:t>
      </w:r>
      <w:r w:rsidR="00284D41">
        <w:rPr>
          <w:szCs w:val="24"/>
        </w:rPr>
        <w:t xml:space="preserve">is </w:t>
      </w:r>
      <w:r w:rsidR="00546873">
        <w:rPr>
          <w:szCs w:val="24"/>
        </w:rPr>
        <w:t xml:space="preserve">fixated upon, as </w:t>
      </w:r>
      <w:r w:rsidR="00FB3646">
        <w:rPr>
          <w:szCs w:val="24"/>
        </w:rPr>
        <w:t>in prior cases</w:t>
      </w:r>
      <w:r w:rsidR="00546873">
        <w:rPr>
          <w:rStyle w:val="FootnoteReference"/>
          <w:szCs w:val="24"/>
        </w:rPr>
        <w:footnoteReference w:id="66"/>
      </w:r>
      <w:r w:rsidR="00546873">
        <w:rPr>
          <w:szCs w:val="24"/>
        </w:rPr>
        <w:t>,</w:t>
      </w:r>
      <w:r w:rsidR="00137440" w:rsidRPr="004D1AC3">
        <w:rPr>
          <w:szCs w:val="24"/>
        </w:rPr>
        <w:t xml:space="preserve"> the idea</w:t>
      </w:r>
      <w:r w:rsidRPr="004D1AC3">
        <w:rPr>
          <w:szCs w:val="24"/>
        </w:rPr>
        <w:t xml:space="preserve"> that no one</w:t>
      </w:r>
      <w:r w:rsidR="00AC5D01" w:rsidRPr="004D1AC3">
        <w:rPr>
          <w:szCs w:val="24"/>
        </w:rPr>
        <w:t xml:space="preserve"> </w:t>
      </w:r>
      <w:r w:rsidRPr="004D1AC3">
        <w:rPr>
          <w:szCs w:val="24"/>
        </w:rPr>
        <w:t>i</w:t>
      </w:r>
      <w:r w:rsidR="00C37185">
        <w:rPr>
          <w:szCs w:val="24"/>
        </w:rPr>
        <w:t>s</w:t>
      </w:r>
      <w:r w:rsidRPr="004D1AC3">
        <w:rPr>
          <w:szCs w:val="24"/>
        </w:rPr>
        <w:t xml:space="preserve"> entitled to any specific statutory regime</w:t>
      </w:r>
      <w:r w:rsidR="00C66947" w:rsidRPr="004D1AC3">
        <w:rPr>
          <w:szCs w:val="24"/>
        </w:rPr>
        <w:t xml:space="preserve"> aimed at instantiating the </w:t>
      </w:r>
      <w:r w:rsidR="00890A49">
        <w:rPr>
          <w:szCs w:val="24"/>
        </w:rPr>
        <w:t xml:space="preserve">s. </w:t>
      </w:r>
      <w:r w:rsidR="00C66947" w:rsidRPr="004D1AC3">
        <w:rPr>
          <w:szCs w:val="24"/>
        </w:rPr>
        <w:t>2(d) freedom. Not the Wagner Act Model</w:t>
      </w:r>
      <w:r w:rsidR="00AC5D01" w:rsidRPr="004D1AC3">
        <w:rPr>
          <w:szCs w:val="24"/>
        </w:rPr>
        <w:t xml:space="preserve">. Or any other model. </w:t>
      </w:r>
    </w:p>
    <w:p w14:paraId="6342115D" w14:textId="393B7A26" w:rsidR="000730C6" w:rsidRDefault="000730C6" w:rsidP="000730C6">
      <w:pPr>
        <w:spacing w:line="240" w:lineRule="auto"/>
        <w:rPr>
          <w:szCs w:val="24"/>
        </w:rPr>
      </w:pPr>
    </w:p>
    <w:p w14:paraId="0678D079" w14:textId="562E770F" w:rsidR="00BE774F" w:rsidRPr="004D1AC3" w:rsidRDefault="00AC5D01" w:rsidP="000730C6">
      <w:pPr>
        <w:spacing w:line="240" w:lineRule="auto"/>
        <w:rPr>
          <w:szCs w:val="24"/>
        </w:rPr>
      </w:pPr>
      <w:r w:rsidRPr="004D1AC3">
        <w:rPr>
          <w:szCs w:val="24"/>
        </w:rPr>
        <w:t>OK. Let</w:t>
      </w:r>
      <w:r w:rsidR="008465A8" w:rsidRPr="004D1AC3">
        <w:rPr>
          <w:szCs w:val="24"/>
        </w:rPr>
        <w:t>’</w:t>
      </w:r>
      <w:r w:rsidRPr="004D1AC3">
        <w:rPr>
          <w:szCs w:val="24"/>
        </w:rPr>
        <w:t>s take that</w:t>
      </w:r>
      <w:r w:rsidR="0031790B">
        <w:rPr>
          <w:szCs w:val="24"/>
        </w:rPr>
        <w:t xml:space="preserve"> point</w:t>
      </w:r>
      <w:r w:rsidRPr="004D1AC3">
        <w:rPr>
          <w:szCs w:val="24"/>
        </w:rPr>
        <w:t xml:space="preserve"> as a given. But </w:t>
      </w:r>
      <w:r w:rsidR="0051641A">
        <w:rPr>
          <w:szCs w:val="24"/>
        </w:rPr>
        <w:t>conceding that point gets us nowhere. This is because the managers</w:t>
      </w:r>
      <w:r w:rsidR="007C0796">
        <w:rPr>
          <w:szCs w:val="24"/>
        </w:rPr>
        <w:t xml:space="preserve"> (and agricultural workers</w:t>
      </w:r>
      <w:r w:rsidR="0051641A">
        <w:rPr>
          <w:szCs w:val="24"/>
        </w:rPr>
        <w:t xml:space="preserve"> </w:t>
      </w:r>
      <w:r w:rsidR="007C0796">
        <w:rPr>
          <w:szCs w:val="24"/>
        </w:rPr>
        <w:t xml:space="preserve">before them) </w:t>
      </w:r>
      <w:r w:rsidR="0051641A">
        <w:rPr>
          <w:szCs w:val="24"/>
        </w:rPr>
        <w:t xml:space="preserve">were </w:t>
      </w:r>
      <w:r w:rsidR="007C0796">
        <w:rPr>
          <w:szCs w:val="24"/>
        </w:rPr>
        <w:t xml:space="preserve">not </w:t>
      </w:r>
      <w:r w:rsidR="0051641A">
        <w:rPr>
          <w:szCs w:val="24"/>
        </w:rPr>
        <w:t>asking for somet</w:t>
      </w:r>
      <w:r w:rsidR="0034188C">
        <w:rPr>
          <w:szCs w:val="24"/>
        </w:rPr>
        <w:t>hin</w:t>
      </w:r>
      <w:r w:rsidR="0051641A">
        <w:rPr>
          <w:szCs w:val="24"/>
        </w:rPr>
        <w:t>g that they are not entitled to “per se</w:t>
      </w:r>
      <w:r w:rsidR="0034188C">
        <w:rPr>
          <w:szCs w:val="24"/>
        </w:rPr>
        <w:t>.”</w:t>
      </w:r>
      <w:r w:rsidRPr="004D1AC3">
        <w:rPr>
          <w:szCs w:val="24"/>
        </w:rPr>
        <w:t xml:space="preserve"> Our</w:t>
      </w:r>
      <w:r w:rsidR="0042218B">
        <w:rPr>
          <w:szCs w:val="24"/>
        </w:rPr>
        <w:t>,</w:t>
      </w:r>
      <w:r w:rsidR="007C0796">
        <w:rPr>
          <w:szCs w:val="24"/>
        </w:rPr>
        <w:t xml:space="preserve"> and their</w:t>
      </w:r>
      <w:r w:rsidR="0042218B">
        <w:rPr>
          <w:szCs w:val="24"/>
        </w:rPr>
        <w:t>,</w:t>
      </w:r>
      <w:r w:rsidR="007C0796">
        <w:rPr>
          <w:szCs w:val="24"/>
        </w:rPr>
        <w:t xml:space="preserve"> </w:t>
      </w:r>
      <w:r w:rsidRPr="004D1AC3">
        <w:rPr>
          <w:szCs w:val="24"/>
        </w:rPr>
        <w:t>p</w:t>
      </w:r>
      <w:r w:rsidR="0054591C" w:rsidRPr="004D1AC3">
        <w:rPr>
          <w:szCs w:val="24"/>
        </w:rPr>
        <w:t>roblem is a</w:t>
      </w:r>
      <w:r w:rsidR="00343EB7" w:rsidRPr="004D1AC3">
        <w:rPr>
          <w:szCs w:val="24"/>
        </w:rPr>
        <w:t xml:space="preserve"> </w:t>
      </w:r>
      <w:r w:rsidR="0054591C" w:rsidRPr="004D1AC3">
        <w:rPr>
          <w:szCs w:val="24"/>
        </w:rPr>
        <w:t>very different one. It is</w:t>
      </w:r>
      <w:r w:rsidR="0012704A" w:rsidRPr="004D1AC3">
        <w:rPr>
          <w:szCs w:val="24"/>
        </w:rPr>
        <w:t xml:space="preserve"> the following </w:t>
      </w:r>
      <w:r w:rsidR="00506D38" w:rsidRPr="00366C05">
        <w:rPr>
          <w:szCs w:val="24"/>
        </w:rPr>
        <w:t>—</w:t>
      </w:r>
      <w:r w:rsidR="0012704A" w:rsidRPr="004D1AC3">
        <w:rPr>
          <w:szCs w:val="24"/>
        </w:rPr>
        <w:t xml:space="preserve"> </w:t>
      </w:r>
      <w:r w:rsidR="0054591C" w:rsidRPr="004D1AC3">
        <w:rPr>
          <w:szCs w:val="24"/>
        </w:rPr>
        <w:t xml:space="preserve">even </w:t>
      </w:r>
      <w:r w:rsidR="008E2BE1" w:rsidRPr="004D1AC3">
        <w:rPr>
          <w:szCs w:val="24"/>
        </w:rPr>
        <w:t xml:space="preserve">if </w:t>
      </w:r>
      <w:r w:rsidR="0054591C" w:rsidRPr="004D1AC3">
        <w:rPr>
          <w:szCs w:val="24"/>
        </w:rPr>
        <w:t xml:space="preserve">it is true that </w:t>
      </w:r>
      <w:r w:rsidR="0054591C" w:rsidRPr="004D1AC3">
        <w:rPr>
          <w:b/>
          <w:bCs/>
          <w:szCs w:val="24"/>
        </w:rPr>
        <w:t>no one</w:t>
      </w:r>
      <w:r w:rsidR="00BE3B99" w:rsidRPr="004D1AC3">
        <w:rPr>
          <w:szCs w:val="24"/>
        </w:rPr>
        <w:t xml:space="preserve"> </w:t>
      </w:r>
      <w:r w:rsidR="00BE3B99" w:rsidRPr="00284D41">
        <w:rPr>
          <w:b/>
          <w:bCs/>
          <w:szCs w:val="24"/>
        </w:rPr>
        <w:t xml:space="preserve">is </w:t>
      </w:r>
      <w:r w:rsidR="00343EB7" w:rsidRPr="004D1AC3">
        <w:rPr>
          <w:szCs w:val="24"/>
        </w:rPr>
        <w:t>entitled</w:t>
      </w:r>
      <w:r w:rsidR="00BE3B99" w:rsidRPr="004D1AC3">
        <w:rPr>
          <w:szCs w:val="24"/>
        </w:rPr>
        <w:t xml:space="preserve"> </w:t>
      </w:r>
      <w:r w:rsidR="00A00606">
        <w:rPr>
          <w:szCs w:val="24"/>
        </w:rPr>
        <w:t>“</w:t>
      </w:r>
      <w:r w:rsidR="00731616">
        <w:rPr>
          <w:szCs w:val="24"/>
        </w:rPr>
        <w:t>per se</w:t>
      </w:r>
      <w:r w:rsidR="00A00606">
        <w:rPr>
          <w:szCs w:val="24"/>
        </w:rPr>
        <w:t>”</w:t>
      </w:r>
      <w:r w:rsidR="00731616">
        <w:rPr>
          <w:szCs w:val="24"/>
        </w:rPr>
        <w:t xml:space="preserve"> </w:t>
      </w:r>
      <w:r w:rsidR="00BE3B99" w:rsidRPr="004D1AC3">
        <w:rPr>
          <w:szCs w:val="24"/>
        </w:rPr>
        <w:t>to certain statutory protections</w:t>
      </w:r>
      <w:r w:rsidR="005300CE" w:rsidRPr="004D1AC3">
        <w:rPr>
          <w:szCs w:val="24"/>
        </w:rPr>
        <w:t xml:space="preserve"> </w:t>
      </w:r>
      <w:r w:rsidR="00E22AB0" w:rsidRPr="004D1AC3">
        <w:rPr>
          <w:szCs w:val="24"/>
        </w:rPr>
        <w:t>(respecting, promoting, protecting</w:t>
      </w:r>
      <w:r w:rsidR="00DB0D0F">
        <w:rPr>
          <w:szCs w:val="24"/>
        </w:rPr>
        <w:t xml:space="preserve"> </w:t>
      </w:r>
      <w:r w:rsidR="00336BEF" w:rsidRPr="00366C05">
        <w:rPr>
          <w:szCs w:val="24"/>
        </w:rPr>
        <w:t>—</w:t>
      </w:r>
      <w:r w:rsidR="00DB0D0F">
        <w:rPr>
          <w:szCs w:val="24"/>
        </w:rPr>
        <w:t xml:space="preserve"> </w:t>
      </w:r>
      <w:r w:rsidR="00336BEF">
        <w:rPr>
          <w:szCs w:val="24"/>
        </w:rPr>
        <w:t>i.e.</w:t>
      </w:r>
      <w:r w:rsidR="00DB0D0F">
        <w:rPr>
          <w:szCs w:val="24"/>
        </w:rPr>
        <w:t xml:space="preserve"> embodying/instantiating </w:t>
      </w:r>
      <w:r w:rsidR="00255072">
        <w:rPr>
          <w:szCs w:val="24"/>
        </w:rPr>
        <w:t xml:space="preserve">— </w:t>
      </w:r>
      <w:r w:rsidR="00255072" w:rsidRPr="004D1AC3">
        <w:rPr>
          <w:szCs w:val="24"/>
        </w:rPr>
        <w:t>a</w:t>
      </w:r>
      <w:r w:rsidR="00E22AB0" w:rsidRPr="004D1AC3">
        <w:rPr>
          <w:szCs w:val="24"/>
        </w:rPr>
        <w:t xml:space="preserve"> fundamental freedom)</w:t>
      </w:r>
      <w:r w:rsidR="0080095E" w:rsidRPr="004D1AC3">
        <w:rPr>
          <w:szCs w:val="24"/>
        </w:rPr>
        <w:t xml:space="preserve">, when </w:t>
      </w:r>
      <w:r w:rsidR="00375489" w:rsidRPr="004D1AC3">
        <w:rPr>
          <w:b/>
          <w:bCs/>
          <w:szCs w:val="24"/>
        </w:rPr>
        <w:t>some</w:t>
      </w:r>
      <w:r w:rsidR="00375489" w:rsidRPr="004D1AC3">
        <w:rPr>
          <w:szCs w:val="24"/>
        </w:rPr>
        <w:t xml:space="preserve"> </w:t>
      </w:r>
      <w:r w:rsidR="00375489" w:rsidRPr="004D1AC3">
        <w:rPr>
          <w:b/>
          <w:bCs/>
          <w:szCs w:val="24"/>
        </w:rPr>
        <w:t>are</w:t>
      </w:r>
      <w:r w:rsidR="00375489" w:rsidRPr="004D1AC3">
        <w:rPr>
          <w:szCs w:val="24"/>
        </w:rPr>
        <w:t xml:space="preserve"> given </w:t>
      </w:r>
      <w:r w:rsidR="00235FDD" w:rsidRPr="004D1AC3">
        <w:rPr>
          <w:szCs w:val="24"/>
        </w:rPr>
        <w:t xml:space="preserve">“such </w:t>
      </w:r>
      <w:r w:rsidR="00C214E1" w:rsidRPr="004D1AC3">
        <w:rPr>
          <w:szCs w:val="24"/>
        </w:rPr>
        <w:t>statutory</w:t>
      </w:r>
      <w:r w:rsidR="00235FDD" w:rsidRPr="004D1AC3">
        <w:rPr>
          <w:szCs w:val="24"/>
        </w:rPr>
        <w:t xml:space="preserve"> </w:t>
      </w:r>
      <w:r w:rsidR="00C214E1" w:rsidRPr="004D1AC3">
        <w:rPr>
          <w:szCs w:val="24"/>
        </w:rPr>
        <w:t>protections</w:t>
      </w:r>
      <w:r w:rsidR="00243E1D">
        <w:rPr>
          <w:szCs w:val="24"/>
        </w:rPr>
        <w:t>,</w:t>
      </w:r>
      <w:r w:rsidR="00C214E1" w:rsidRPr="004D1AC3">
        <w:rPr>
          <w:szCs w:val="24"/>
        </w:rPr>
        <w:t>”</w:t>
      </w:r>
      <w:r w:rsidR="00375489" w:rsidRPr="004D1AC3">
        <w:rPr>
          <w:szCs w:val="24"/>
        </w:rPr>
        <w:t xml:space="preserve"> </w:t>
      </w:r>
      <w:r w:rsidR="005300CE" w:rsidRPr="004D1AC3">
        <w:rPr>
          <w:b/>
          <w:bCs/>
          <w:szCs w:val="24"/>
        </w:rPr>
        <w:t>everyone</w:t>
      </w:r>
      <w:r w:rsidR="005300CE" w:rsidRPr="004D1AC3">
        <w:rPr>
          <w:szCs w:val="24"/>
        </w:rPr>
        <w:t xml:space="preserve"> </w:t>
      </w:r>
      <w:r w:rsidR="005300CE" w:rsidRPr="007C243E">
        <w:rPr>
          <w:b/>
          <w:bCs/>
          <w:szCs w:val="24"/>
        </w:rPr>
        <w:t>i</w:t>
      </w:r>
      <w:r w:rsidR="003037E6" w:rsidRPr="007C243E">
        <w:rPr>
          <w:b/>
          <w:bCs/>
          <w:szCs w:val="24"/>
        </w:rPr>
        <w:t>s</w:t>
      </w:r>
      <w:r w:rsidR="005300CE" w:rsidRPr="007C243E">
        <w:rPr>
          <w:b/>
          <w:bCs/>
          <w:szCs w:val="24"/>
        </w:rPr>
        <w:t xml:space="preserve"> </w:t>
      </w:r>
      <w:r w:rsidR="005300CE" w:rsidRPr="004D1AC3">
        <w:rPr>
          <w:szCs w:val="24"/>
        </w:rPr>
        <w:t xml:space="preserve">entitled to be treated </w:t>
      </w:r>
      <w:r w:rsidR="005642E9" w:rsidRPr="004D1AC3">
        <w:rPr>
          <w:szCs w:val="24"/>
        </w:rPr>
        <w:t>equally</w:t>
      </w:r>
      <w:r w:rsidR="005300CE" w:rsidRPr="004D1AC3">
        <w:rPr>
          <w:szCs w:val="24"/>
        </w:rPr>
        <w:t xml:space="preserve"> by the law</w:t>
      </w:r>
      <w:r w:rsidR="009502A5" w:rsidRPr="004D1AC3">
        <w:rPr>
          <w:szCs w:val="24"/>
        </w:rPr>
        <w:t>. That is</w:t>
      </w:r>
      <w:r w:rsidR="0060544E" w:rsidRPr="004D1AC3">
        <w:rPr>
          <w:szCs w:val="24"/>
        </w:rPr>
        <w:t>,</w:t>
      </w:r>
      <w:r w:rsidR="009502A5" w:rsidRPr="004D1AC3">
        <w:rPr>
          <w:szCs w:val="24"/>
        </w:rPr>
        <w:t xml:space="preserve"> those</w:t>
      </w:r>
      <w:r w:rsidR="00137440" w:rsidRPr="004D1AC3">
        <w:rPr>
          <w:szCs w:val="24"/>
        </w:rPr>
        <w:t xml:space="preserve"> </w:t>
      </w:r>
      <w:r w:rsidR="009502A5" w:rsidRPr="004D1AC3">
        <w:rPr>
          <w:szCs w:val="24"/>
        </w:rPr>
        <w:t xml:space="preserve">excluded are </w:t>
      </w:r>
      <w:r w:rsidR="0060544E" w:rsidRPr="004D1AC3">
        <w:rPr>
          <w:szCs w:val="24"/>
        </w:rPr>
        <w:t>e</w:t>
      </w:r>
      <w:r w:rsidR="009502A5" w:rsidRPr="004D1AC3">
        <w:rPr>
          <w:szCs w:val="24"/>
        </w:rPr>
        <w:t xml:space="preserve">ntitled to a good answer </w:t>
      </w:r>
      <w:r w:rsidR="0010085B">
        <w:rPr>
          <w:szCs w:val="24"/>
        </w:rPr>
        <w:t xml:space="preserve">to the question </w:t>
      </w:r>
      <w:r w:rsidR="009502A5" w:rsidRPr="004D1AC3">
        <w:rPr>
          <w:szCs w:val="24"/>
        </w:rPr>
        <w:t xml:space="preserve">why they were not given the same </w:t>
      </w:r>
      <w:r w:rsidR="001D478E" w:rsidRPr="004D1AC3">
        <w:rPr>
          <w:szCs w:val="24"/>
        </w:rPr>
        <w:t xml:space="preserve">protection. This is </w:t>
      </w:r>
      <w:r w:rsidR="00BF2E29">
        <w:rPr>
          <w:szCs w:val="24"/>
        </w:rPr>
        <w:t xml:space="preserve">what </w:t>
      </w:r>
      <w:r w:rsidR="001D478E" w:rsidRPr="004D1AC3">
        <w:rPr>
          <w:szCs w:val="24"/>
        </w:rPr>
        <w:t xml:space="preserve">the </w:t>
      </w:r>
      <w:r w:rsidR="00CC4461">
        <w:rPr>
          <w:szCs w:val="24"/>
        </w:rPr>
        <w:t xml:space="preserve">legal and </w:t>
      </w:r>
      <w:r w:rsidR="001D478E" w:rsidRPr="004D1AC3">
        <w:rPr>
          <w:szCs w:val="24"/>
        </w:rPr>
        <w:t xml:space="preserve">constitutional idea of </w:t>
      </w:r>
      <w:r w:rsidR="00FD561D" w:rsidRPr="004D1AC3">
        <w:rPr>
          <w:szCs w:val="24"/>
        </w:rPr>
        <w:t>equality</w:t>
      </w:r>
      <w:r w:rsidR="005B45ED">
        <w:rPr>
          <w:szCs w:val="24"/>
        </w:rPr>
        <w:t xml:space="preserve"> is about:  </w:t>
      </w:r>
      <w:r w:rsidR="001D478E" w:rsidRPr="004D1AC3">
        <w:rPr>
          <w:szCs w:val="24"/>
        </w:rPr>
        <w:t xml:space="preserve">not that everyone </w:t>
      </w:r>
      <w:r w:rsidR="005B45ED">
        <w:rPr>
          <w:szCs w:val="24"/>
        </w:rPr>
        <w:t>must be</w:t>
      </w:r>
      <w:r w:rsidR="001D478E" w:rsidRPr="004D1AC3">
        <w:rPr>
          <w:szCs w:val="24"/>
        </w:rPr>
        <w:t xml:space="preserve"> treated the same</w:t>
      </w:r>
      <w:r w:rsidR="005B45ED">
        <w:rPr>
          <w:szCs w:val="24"/>
        </w:rPr>
        <w:t xml:space="preserve"> </w:t>
      </w:r>
      <w:r w:rsidR="00255072">
        <w:rPr>
          <w:szCs w:val="24"/>
        </w:rPr>
        <w:t>—</w:t>
      </w:r>
      <w:r w:rsidR="005B45ED">
        <w:rPr>
          <w:szCs w:val="24"/>
        </w:rPr>
        <w:t xml:space="preserve"> </w:t>
      </w:r>
      <w:r w:rsidR="001D478E" w:rsidRPr="004D1AC3">
        <w:rPr>
          <w:szCs w:val="24"/>
        </w:rPr>
        <w:t xml:space="preserve">but that we </w:t>
      </w:r>
      <w:r w:rsidR="005B45ED">
        <w:rPr>
          <w:szCs w:val="24"/>
        </w:rPr>
        <w:t xml:space="preserve">must </w:t>
      </w:r>
      <w:r w:rsidR="001D478E" w:rsidRPr="004D1AC3">
        <w:rPr>
          <w:szCs w:val="24"/>
        </w:rPr>
        <w:t xml:space="preserve">have a good reason for treating </w:t>
      </w:r>
      <w:r w:rsidR="005E10D4" w:rsidRPr="004D1AC3">
        <w:rPr>
          <w:szCs w:val="24"/>
        </w:rPr>
        <w:t>people differently. This is espec</w:t>
      </w:r>
      <w:r w:rsidR="00137440" w:rsidRPr="004D1AC3">
        <w:rPr>
          <w:szCs w:val="24"/>
        </w:rPr>
        <w:t xml:space="preserve">ially </w:t>
      </w:r>
      <w:r w:rsidR="00FE0B2B">
        <w:rPr>
          <w:szCs w:val="24"/>
        </w:rPr>
        <w:t>important</w:t>
      </w:r>
      <w:r w:rsidR="00137440" w:rsidRPr="004D1AC3">
        <w:rPr>
          <w:szCs w:val="24"/>
        </w:rPr>
        <w:t xml:space="preserve"> when we are </w:t>
      </w:r>
      <w:r w:rsidR="00FE0B2B">
        <w:rPr>
          <w:szCs w:val="24"/>
        </w:rPr>
        <w:t>distributing</w:t>
      </w:r>
      <w:r w:rsidR="002C7DEA">
        <w:rPr>
          <w:szCs w:val="24"/>
        </w:rPr>
        <w:t xml:space="preserve"> </w:t>
      </w:r>
      <w:r w:rsidR="00FE0B2B">
        <w:rPr>
          <w:szCs w:val="24"/>
        </w:rPr>
        <w:t xml:space="preserve">the </w:t>
      </w:r>
      <w:r w:rsidR="00137440" w:rsidRPr="004D1AC3">
        <w:rPr>
          <w:szCs w:val="24"/>
        </w:rPr>
        <w:t>protect</w:t>
      </w:r>
      <w:r w:rsidR="00FE0B2B">
        <w:rPr>
          <w:szCs w:val="24"/>
        </w:rPr>
        <w:t>i</w:t>
      </w:r>
      <w:r w:rsidR="002A42EF">
        <w:rPr>
          <w:szCs w:val="24"/>
        </w:rPr>
        <w:t>o</w:t>
      </w:r>
      <w:r w:rsidR="00FE0B2B">
        <w:rPr>
          <w:szCs w:val="24"/>
        </w:rPr>
        <w:t>n</w:t>
      </w:r>
      <w:r w:rsidR="005241E5">
        <w:rPr>
          <w:szCs w:val="24"/>
        </w:rPr>
        <w:t xml:space="preserve"> </w:t>
      </w:r>
      <w:r w:rsidR="00FE0B2B">
        <w:rPr>
          <w:szCs w:val="24"/>
        </w:rPr>
        <w:t xml:space="preserve">of </w:t>
      </w:r>
      <w:r w:rsidR="00137440" w:rsidRPr="004D1AC3">
        <w:rPr>
          <w:szCs w:val="24"/>
        </w:rPr>
        <w:t>fundamental freedoms</w:t>
      </w:r>
      <w:r w:rsidR="005241E5">
        <w:rPr>
          <w:szCs w:val="24"/>
        </w:rPr>
        <w:t xml:space="preserve"> </w:t>
      </w:r>
      <w:r w:rsidR="00C54B7B" w:rsidRPr="00366C05">
        <w:rPr>
          <w:szCs w:val="24"/>
        </w:rPr>
        <w:t>—</w:t>
      </w:r>
      <w:r w:rsidR="005241E5">
        <w:rPr>
          <w:szCs w:val="24"/>
        </w:rPr>
        <w:t xml:space="preserve"> </w:t>
      </w:r>
      <w:r w:rsidR="00C54B7B">
        <w:rPr>
          <w:szCs w:val="24"/>
        </w:rPr>
        <w:t>i.e.</w:t>
      </w:r>
      <w:r w:rsidR="005241E5">
        <w:rPr>
          <w:szCs w:val="24"/>
        </w:rPr>
        <w:t xml:space="preserve"> when</w:t>
      </w:r>
      <w:r w:rsidR="008406DE">
        <w:rPr>
          <w:szCs w:val="24"/>
        </w:rPr>
        <w:t xml:space="preserve"> </w:t>
      </w:r>
      <w:r w:rsidR="005241E5">
        <w:rPr>
          <w:szCs w:val="24"/>
        </w:rPr>
        <w:t xml:space="preserve">we are </w:t>
      </w:r>
      <w:r w:rsidR="002C7741">
        <w:rPr>
          <w:szCs w:val="24"/>
        </w:rPr>
        <w:t>“</w:t>
      </w:r>
      <w:r w:rsidR="005241E5">
        <w:rPr>
          <w:szCs w:val="24"/>
        </w:rPr>
        <w:t>embodying</w:t>
      </w:r>
      <w:r w:rsidR="002C7741">
        <w:rPr>
          <w:szCs w:val="24"/>
        </w:rPr>
        <w:t>”</w:t>
      </w:r>
      <w:proofErr w:type="gramStart"/>
      <w:r w:rsidR="005241E5">
        <w:rPr>
          <w:szCs w:val="24"/>
        </w:rPr>
        <w:t>/</w:t>
      </w:r>
      <w:r w:rsidR="002C7741">
        <w:rPr>
          <w:szCs w:val="24"/>
        </w:rPr>
        <w:t>”</w:t>
      </w:r>
      <w:r w:rsidR="008406DE">
        <w:rPr>
          <w:szCs w:val="24"/>
        </w:rPr>
        <w:t>instantiating</w:t>
      </w:r>
      <w:proofErr w:type="gramEnd"/>
      <w:r w:rsidR="002C7741">
        <w:rPr>
          <w:szCs w:val="24"/>
        </w:rPr>
        <w:t>”</w:t>
      </w:r>
      <w:r w:rsidR="008406DE">
        <w:rPr>
          <w:szCs w:val="24"/>
        </w:rPr>
        <w:t xml:space="preserve"> them.</w:t>
      </w:r>
      <w:r w:rsidR="002C7741">
        <w:rPr>
          <w:szCs w:val="24"/>
        </w:rPr>
        <w:t xml:space="preserve"> To do this unequally is very un</w:t>
      </w:r>
      <w:r w:rsidR="00ED1FC5">
        <w:rPr>
          <w:szCs w:val="24"/>
        </w:rPr>
        <w:t>-Canadian.</w:t>
      </w:r>
    </w:p>
    <w:p w14:paraId="4C9BCF16" w14:textId="39C9E330" w:rsidR="000730C6" w:rsidRDefault="000730C6" w:rsidP="000730C6">
      <w:pPr>
        <w:spacing w:line="240" w:lineRule="auto"/>
        <w:rPr>
          <w:szCs w:val="24"/>
        </w:rPr>
      </w:pPr>
    </w:p>
    <w:p w14:paraId="1F937BEB" w14:textId="77777777" w:rsidR="00B43A73" w:rsidRDefault="00425131" w:rsidP="000730C6">
      <w:pPr>
        <w:spacing w:line="240" w:lineRule="auto"/>
        <w:rPr>
          <w:szCs w:val="24"/>
        </w:rPr>
      </w:pPr>
      <w:r w:rsidRPr="004D1AC3">
        <w:rPr>
          <w:szCs w:val="24"/>
        </w:rPr>
        <w:t xml:space="preserve">The beauty of the idea of equality as our first </w:t>
      </w:r>
      <w:r w:rsidR="00FD561D" w:rsidRPr="004D1AC3">
        <w:rPr>
          <w:szCs w:val="24"/>
        </w:rPr>
        <w:t xml:space="preserve">approach to </w:t>
      </w:r>
      <w:r w:rsidR="00C4129C" w:rsidRPr="004D1AC3">
        <w:rPr>
          <w:szCs w:val="24"/>
        </w:rPr>
        <w:t xml:space="preserve">constitutional </w:t>
      </w:r>
      <w:r w:rsidR="00FD561D" w:rsidRPr="004D1AC3">
        <w:rPr>
          <w:szCs w:val="24"/>
        </w:rPr>
        <w:t>labour law</w:t>
      </w:r>
      <w:r w:rsidR="001A56CA" w:rsidRPr="004D1AC3">
        <w:rPr>
          <w:szCs w:val="24"/>
        </w:rPr>
        <w:t xml:space="preserve"> cases is that it avoids the whole </w:t>
      </w:r>
      <w:r w:rsidR="00C4129C" w:rsidRPr="004D1AC3">
        <w:rPr>
          <w:szCs w:val="24"/>
        </w:rPr>
        <w:t>“</w:t>
      </w:r>
      <w:r w:rsidR="001A56CA" w:rsidRPr="004D1AC3">
        <w:rPr>
          <w:szCs w:val="24"/>
        </w:rPr>
        <w:t xml:space="preserve">judicial parallel </w:t>
      </w:r>
      <w:r w:rsidR="006D0173">
        <w:rPr>
          <w:szCs w:val="24"/>
        </w:rPr>
        <w:t>universe</w:t>
      </w:r>
      <w:r w:rsidR="009E50A4">
        <w:rPr>
          <w:szCs w:val="24"/>
        </w:rPr>
        <w:t>/</w:t>
      </w:r>
      <w:r w:rsidR="001A56CA" w:rsidRPr="004D1AC3">
        <w:rPr>
          <w:szCs w:val="24"/>
        </w:rPr>
        <w:t>labour code</w:t>
      </w:r>
      <w:r w:rsidR="00C4129C" w:rsidRPr="004D1AC3">
        <w:rPr>
          <w:szCs w:val="24"/>
        </w:rPr>
        <w:t>”</w:t>
      </w:r>
      <w:r w:rsidR="001A56CA" w:rsidRPr="004D1AC3">
        <w:rPr>
          <w:szCs w:val="24"/>
        </w:rPr>
        <w:t xml:space="preserve"> problem. We don’t need (and perhaps we do not want in a democracy which has </w:t>
      </w:r>
      <w:r w:rsidR="009A2F16" w:rsidRPr="004D1AC3">
        <w:rPr>
          <w:szCs w:val="24"/>
        </w:rPr>
        <w:t>provide</w:t>
      </w:r>
      <w:r w:rsidR="00C37185">
        <w:rPr>
          <w:szCs w:val="24"/>
        </w:rPr>
        <w:t>d</w:t>
      </w:r>
      <w:r w:rsidR="009A2F16" w:rsidRPr="004D1AC3">
        <w:rPr>
          <w:szCs w:val="24"/>
        </w:rPr>
        <w:t xml:space="preserve"> a code</w:t>
      </w:r>
      <w:r w:rsidR="001A56CA" w:rsidRPr="004D1AC3">
        <w:rPr>
          <w:szCs w:val="24"/>
        </w:rPr>
        <w:t xml:space="preserve"> which is causing those excluded to clamo</w:t>
      </w:r>
      <w:r w:rsidR="00C37185">
        <w:rPr>
          <w:szCs w:val="24"/>
        </w:rPr>
        <w:t>u</w:t>
      </w:r>
      <w:r w:rsidR="001A56CA" w:rsidRPr="004D1AC3">
        <w:rPr>
          <w:szCs w:val="24"/>
        </w:rPr>
        <w:t xml:space="preserve">r for inclusion) a judicial model of freedom of association. We already have </w:t>
      </w:r>
      <w:r w:rsidR="00105343" w:rsidRPr="004D1AC3">
        <w:rPr>
          <w:szCs w:val="24"/>
        </w:rPr>
        <w:t xml:space="preserve">a </w:t>
      </w:r>
      <w:r w:rsidR="00860C7A" w:rsidRPr="004D1AC3">
        <w:rPr>
          <w:szCs w:val="24"/>
        </w:rPr>
        <w:t xml:space="preserve">democratically developed </w:t>
      </w:r>
      <w:r w:rsidR="00105343" w:rsidRPr="004D1AC3">
        <w:rPr>
          <w:szCs w:val="24"/>
        </w:rPr>
        <w:t>model. Our problem is unequal access t</w:t>
      </w:r>
      <w:r w:rsidR="00F04824" w:rsidRPr="004D1AC3">
        <w:rPr>
          <w:szCs w:val="24"/>
        </w:rPr>
        <w:t>o it.</w:t>
      </w:r>
      <w:r w:rsidR="001A56CA" w:rsidRPr="004D1AC3">
        <w:rPr>
          <w:szCs w:val="24"/>
        </w:rPr>
        <w:t xml:space="preserve"> </w:t>
      </w:r>
      <w:r w:rsidR="00642D9D">
        <w:rPr>
          <w:szCs w:val="24"/>
        </w:rPr>
        <w:t xml:space="preserve">That is </w:t>
      </w:r>
      <w:r w:rsidR="00144078">
        <w:rPr>
          <w:szCs w:val="24"/>
        </w:rPr>
        <w:t>what the ma</w:t>
      </w:r>
      <w:r w:rsidR="00980329">
        <w:rPr>
          <w:szCs w:val="24"/>
        </w:rPr>
        <w:t>nagers</w:t>
      </w:r>
      <w:r w:rsidR="00AA34BE">
        <w:rPr>
          <w:szCs w:val="24"/>
        </w:rPr>
        <w:t>,</w:t>
      </w:r>
      <w:r w:rsidR="00980329">
        <w:rPr>
          <w:szCs w:val="24"/>
        </w:rPr>
        <w:t xml:space="preserve"> </w:t>
      </w:r>
      <w:r w:rsidR="00144078">
        <w:rPr>
          <w:szCs w:val="24"/>
        </w:rPr>
        <w:t xml:space="preserve">and </w:t>
      </w:r>
      <w:r w:rsidR="00AA34BE">
        <w:rPr>
          <w:szCs w:val="24"/>
        </w:rPr>
        <w:t xml:space="preserve">the </w:t>
      </w:r>
      <w:r w:rsidR="00144078">
        <w:rPr>
          <w:szCs w:val="24"/>
        </w:rPr>
        <w:t xml:space="preserve">agricultural workers </w:t>
      </w:r>
      <w:r w:rsidR="00AA34BE">
        <w:rPr>
          <w:szCs w:val="24"/>
        </w:rPr>
        <w:t>before them,</w:t>
      </w:r>
      <w:r w:rsidR="00705A1D">
        <w:rPr>
          <w:szCs w:val="24"/>
        </w:rPr>
        <w:t xml:space="preserve"> </w:t>
      </w:r>
      <w:r w:rsidR="00144078">
        <w:rPr>
          <w:szCs w:val="24"/>
        </w:rPr>
        <w:t xml:space="preserve">were complaining about. </w:t>
      </w:r>
    </w:p>
    <w:p w14:paraId="0ED1331F" w14:textId="77777777" w:rsidR="00B43A73" w:rsidRDefault="00B43A73" w:rsidP="000730C6">
      <w:pPr>
        <w:spacing w:line="240" w:lineRule="auto"/>
        <w:rPr>
          <w:szCs w:val="24"/>
        </w:rPr>
      </w:pPr>
    </w:p>
    <w:p w14:paraId="58CD79CB" w14:textId="43120DF8" w:rsidR="002A09F2" w:rsidRDefault="00F04824" w:rsidP="000730C6">
      <w:pPr>
        <w:spacing w:line="240" w:lineRule="auto"/>
        <w:rPr>
          <w:szCs w:val="24"/>
        </w:rPr>
      </w:pPr>
      <w:r w:rsidRPr="004D1AC3">
        <w:rPr>
          <w:szCs w:val="24"/>
        </w:rPr>
        <w:lastRenderedPageBreak/>
        <w:t>What we need</w:t>
      </w:r>
      <w:r w:rsidR="00980329">
        <w:rPr>
          <w:szCs w:val="24"/>
        </w:rPr>
        <w:t>,</w:t>
      </w:r>
      <w:r w:rsidR="00744302">
        <w:rPr>
          <w:szCs w:val="24"/>
        </w:rPr>
        <w:t xml:space="preserve"> and </w:t>
      </w:r>
      <w:r w:rsidR="001F04EB" w:rsidRPr="004D1AC3">
        <w:rPr>
          <w:szCs w:val="24"/>
        </w:rPr>
        <w:t xml:space="preserve">what </w:t>
      </w:r>
      <w:r w:rsidR="00E83A78">
        <w:rPr>
          <w:szCs w:val="24"/>
        </w:rPr>
        <w:t>the managers</w:t>
      </w:r>
      <w:r w:rsidR="00744302">
        <w:rPr>
          <w:szCs w:val="24"/>
        </w:rPr>
        <w:t xml:space="preserve"> in th</w:t>
      </w:r>
      <w:r w:rsidR="00E83A78">
        <w:rPr>
          <w:szCs w:val="24"/>
        </w:rPr>
        <w:t>ese</w:t>
      </w:r>
      <w:r w:rsidR="00744302">
        <w:rPr>
          <w:szCs w:val="24"/>
        </w:rPr>
        <w:t xml:space="preserve"> case</w:t>
      </w:r>
      <w:r w:rsidR="00E83A78">
        <w:rPr>
          <w:szCs w:val="24"/>
        </w:rPr>
        <w:t>s</w:t>
      </w:r>
      <w:r w:rsidR="001F04EB" w:rsidRPr="004D1AC3">
        <w:rPr>
          <w:szCs w:val="24"/>
        </w:rPr>
        <w:t xml:space="preserve"> </w:t>
      </w:r>
      <w:r w:rsidR="00E83A78">
        <w:rPr>
          <w:szCs w:val="24"/>
        </w:rPr>
        <w:t>asked for</w:t>
      </w:r>
      <w:r w:rsidR="001F04EB" w:rsidRPr="004D1AC3">
        <w:rPr>
          <w:szCs w:val="24"/>
        </w:rPr>
        <w:t xml:space="preserve">, </w:t>
      </w:r>
      <w:r w:rsidRPr="004D1AC3">
        <w:rPr>
          <w:szCs w:val="24"/>
        </w:rPr>
        <w:t xml:space="preserve">is a constitution which </w:t>
      </w:r>
      <w:r w:rsidR="00C4129C" w:rsidRPr="004D1AC3">
        <w:rPr>
          <w:szCs w:val="24"/>
        </w:rPr>
        <w:t>ensures equality</w:t>
      </w:r>
      <w:r w:rsidRPr="004D1AC3">
        <w:rPr>
          <w:szCs w:val="24"/>
        </w:rPr>
        <w:t xml:space="preserve"> </w:t>
      </w:r>
      <w:r w:rsidR="006F1E06" w:rsidRPr="004D1AC3">
        <w:rPr>
          <w:szCs w:val="24"/>
        </w:rPr>
        <w:t>of</w:t>
      </w:r>
      <w:r w:rsidR="001A56CA" w:rsidRPr="004D1AC3">
        <w:rPr>
          <w:szCs w:val="24"/>
        </w:rPr>
        <w:t xml:space="preserve"> access to</w:t>
      </w:r>
      <w:r w:rsidR="00144078">
        <w:rPr>
          <w:szCs w:val="24"/>
        </w:rPr>
        <w:t xml:space="preserve"> the </w:t>
      </w:r>
      <w:r w:rsidR="009078D6">
        <w:rPr>
          <w:szCs w:val="24"/>
        </w:rPr>
        <w:t xml:space="preserve">legal </w:t>
      </w:r>
      <w:r w:rsidR="00144078">
        <w:rPr>
          <w:szCs w:val="24"/>
        </w:rPr>
        <w:t xml:space="preserve">model </w:t>
      </w:r>
      <w:r w:rsidR="009078D6">
        <w:rPr>
          <w:szCs w:val="24"/>
        </w:rPr>
        <w:t xml:space="preserve">of freedom of association </w:t>
      </w:r>
      <w:r w:rsidR="00144078">
        <w:rPr>
          <w:szCs w:val="24"/>
        </w:rPr>
        <w:t xml:space="preserve">we have </w:t>
      </w:r>
      <w:r w:rsidR="0034188C" w:rsidRPr="00366C05">
        <w:rPr>
          <w:szCs w:val="24"/>
        </w:rPr>
        <w:t>—</w:t>
      </w:r>
      <w:r w:rsidR="00144078">
        <w:rPr>
          <w:szCs w:val="24"/>
        </w:rPr>
        <w:t xml:space="preserve"> whatever it is</w:t>
      </w:r>
      <w:r w:rsidR="00154915" w:rsidRPr="004D1AC3">
        <w:rPr>
          <w:szCs w:val="24"/>
        </w:rPr>
        <w:t xml:space="preserve">. </w:t>
      </w:r>
      <w:r w:rsidR="00A263C3" w:rsidRPr="004D1AC3">
        <w:rPr>
          <w:szCs w:val="24"/>
        </w:rPr>
        <w:t xml:space="preserve">This was </w:t>
      </w:r>
      <w:r w:rsidR="001F04EB" w:rsidRPr="004D1AC3">
        <w:rPr>
          <w:szCs w:val="24"/>
        </w:rPr>
        <w:t xml:space="preserve">certainly </w:t>
      </w:r>
      <w:r w:rsidR="00A263C3" w:rsidRPr="004D1AC3">
        <w:rPr>
          <w:szCs w:val="24"/>
        </w:rPr>
        <w:t xml:space="preserve">the claim made by the managers in the </w:t>
      </w:r>
      <w:r w:rsidR="00262ECA">
        <w:rPr>
          <w:i/>
          <w:iCs/>
        </w:rPr>
        <w:t>C</w:t>
      </w:r>
      <w:r w:rsidR="00262ECA" w:rsidRPr="007A4305">
        <w:rPr>
          <w:i/>
          <w:iCs/>
        </w:rPr>
        <w:t>asinos du Québec</w:t>
      </w:r>
      <w:r w:rsidR="000046EA">
        <w:rPr>
          <w:i/>
          <w:iCs/>
          <w:szCs w:val="24"/>
        </w:rPr>
        <w:t xml:space="preserve">. </w:t>
      </w:r>
      <w:r w:rsidR="00D87713">
        <w:rPr>
          <w:szCs w:val="24"/>
        </w:rPr>
        <w:t>T</w:t>
      </w:r>
      <w:r w:rsidR="00A263C3" w:rsidRPr="004D1AC3">
        <w:rPr>
          <w:szCs w:val="24"/>
        </w:rPr>
        <w:t xml:space="preserve">hey claim they were unfairly excluded. </w:t>
      </w:r>
      <w:r w:rsidR="00FC65F9">
        <w:rPr>
          <w:szCs w:val="24"/>
        </w:rPr>
        <w:t>T</w:t>
      </w:r>
      <w:r w:rsidR="0068746F" w:rsidRPr="004D1AC3">
        <w:rPr>
          <w:szCs w:val="24"/>
        </w:rPr>
        <w:t>he</w:t>
      </w:r>
      <w:r w:rsidR="00980329">
        <w:rPr>
          <w:szCs w:val="24"/>
        </w:rPr>
        <w:t>ir</w:t>
      </w:r>
      <w:r w:rsidR="00FC65F9">
        <w:rPr>
          <w:szCs w:val="24"/>
        </w:rPr>
        <w:t xml:space="preserve"> legal complaint was that they </w:t>
      </w:r>
      <w:r w:rsidR="0068746F" w:rsidRPr="004D1AC3">
        <w:rPr>
          <w:szCs w:val="24"/>
        </w:rPr>
        <w:t>were treated unequally</w:t>
      </w:r>
      <w:r w:rsidR="00C5638A">
        <w:rPr>
          <w:szCs w:val="24"/>
        </w:rPr>
        <w:t xml:space="preserve"> </w:t>
      </w:r>
      <w:r w:rsidR="00705A1D" w:rsidRPr="00366C05">
        <w:rPr>
          <w:szCs w:val="24"/>
        </w:rPr>
        <w:t>—</w:t>
      </w:r>
      <w:r w:rsidR="00C5638A">
        <w:rPr>
          <w:szCs w:val="24"/>
        </w:rPr>
        <w:t xml:space="preserve"> that there was no good reason for trea</w:t>
      </w:r>
      <w:r w:rsidR="000C1CD5">
        <w:rPr>
          <w:szCs w:val="24"/>
        </w:rPr>
        <w:t>t</w:t>
      </w:r>
      <w:r w:rsidR="00C5638A">
        <w:rPr>
          <w:szCs w:val="24"/>
        </w:rPr>
        <w:t>ing them differently than other employees.</w:t>
      </w:r>
      <w:r w:rsidR="0068746F" w:rsidRPr="004D1AC3">
        <w:rPr>
          <w:szCs w:val="24"/>
        </w:rPr>
        <w:t xml:space="preserve"> Were they? </w:t>
      </w:r>
      <w:r w:rsidR="001C15F5">
        <w:rPr>
          <w:szCs w:val="24"/>
        </w:rPr>
        <w:t>Was there?</w:t>
      </w:r>
      <w:r w:rsidR="00CD5ABE">
        <w:rPr>
          <w:szCs w:val="24"/>
        </w:rPr>
        <w:t xml:space="preserve"> Does the longstanding and </w:t>
      </w:r>
      <w:r w:rsidR="00BD54A7">
        <w:rPr>
          <w:szCs w:val="24"/>
        </w:rPr>
        <w:t>two-fold</w:t>
      </w:r>
      <w:r w:rsidR="00CD5ABE">
        <w:rPr>
          <w:szCs w:val="24"/>
        </w:rPr>
        <w:t xml:space="preserve"> rational</w:t>
      </w:r>
      <w:r w:rsidR="000046EA">
        <w:rPr>
          <w:szCs w:val="24"/>
        </w:rPr>
        <w:t>e</w:t>
      </w:r>
      <w:r w:rsidR="00CD5ABE">
        <w:rPr>
          <w:szCs w:val="24"/>
        </w:rPr>
        <w:t xml:space="preserve"> for </w:t>
      </w:r>
      <w:r w:rsidR="00CA7951">
        <w:rPr>
          <w:szCs w:val="24"/>
        </w:rPr>
        <w:t>their</w:t>
      </w:r>
      <w:r w:rsidR="00CD5ABE">
        <w:rPr>
          <w:szCs w:val="24"/>
        </w:rPr>
        <w:t xml:space="preserve"> exclusion </w:t>
      </w:r>
      <w:r w:rsidR="000C1CD5">
        <w:rPr>
          <w:szCs w:val="24"/>
        </w:rPr>
        <w:t xml:space="preserve">provide </w:t>
      </w:r>
      <w:r w:rsidR="00C531FE">
        <w:rPr>
          <w:szCs w:val="24"/>
        </w:rPr>
        <w:t xml:space="preserve">a </w:t>
      </w:r>
      <w:r w:rsidR="000C1CD5">
        <w:rPr>
          <w:szCs w:val="24"/>
        </w:rPr>
        <w:t xml:space="preserve">good reason </w:t>
      </w:r>
      <w:r w:rsidR="00C3525E">
        <w:rPr>
          <w:szCs w:val="24"/>
        </w:rPr>
        <w:t xml:space="preserve">for upholding the exclusion </w:t>
      </w:r>
      <w:r w:rsidR="00CD5ABE">
        <w:rPr>
          <w:szCs w:val="24"/>
        </w:rPr>
        <w:t xml:space="preserve">under the lens of </w:t>
      </w:r>
      <w:r w:rsidR="001C15F5">
        <w:rPr>
          <w:szCs w:val="24"/>
        </w:rPr>
        <w:t xml:space="preserve">the </w:t>
      </w:r>
      <w:r w:rsidR="001C15F5" w:rsidRPr="00140063">
        <w:rPr>
          <w:i/>
          <w:iCs/>
          <w:szCs w:val="24"/>
        </w:rPr>
        <w:t>Charter</w:t>
      </w:r>
      <w:r w:rsidR="00C531FE">
        <w:rPr>
          <w:i/>
          <w:iCs/>
          <w:szCs w:val="24"/>
        </w:rPr>
        <w:t>’s</w:t>
      </w:r>
      <w:r w:rsidR="001C15F5">
        <w:rPr>
          <w:szCs w:val="24"/>
        </w:rPr>
        <w:t xml:space="preserve"> guarantee of </w:t>
      </w:r>
      <w:r w:rsidR="00CD5ABE">
        <w:rPr>
          <w:szCs w:val="24"/>
        </w:rPr>
        <w:t xml:space="preserve">equality? </w:t>
      </w:r>
      <w:r w:rsidR="0012704A" w:rsidRPr="004D1AC3">
        <w:rPr>
          <w:szCs w:val="24"/>
        </w:rPr>
        <w:t xml:space="preserve">That was the question posed. </w:t>
      </w:r>
      <w:r w:rsidR="00474780">
        <w:rPr>
          <w:szCs w:val="24"/>
        </w:rPr>
        <w:t xml:space="preserve">In </w:t>
      </w:r>
      <w:r w:rsidR="00262ECA">
        <w:rPr>
          <w:i/>
          <w:iCs/>
        </w:rPr>
        <w:t>C</w:t>
      </w:r>
      <w:r w:rsidR="00262ECA" w:rsidRPr="007A4305">
        <w:rPr>
          <w:i/>
          <w:iCs/>
        </w:rPr>
        <w:t>asinos du Québec</w:t>
      </w:r>
      <w:r w:rsidR="004418AE" w:rsidRPr="004D1AC3">
        <w:rPr>
          <w:szCs w:val="24"/>
        </w:rPr>
        <w:t xml:space="preserve"> </w:t>
      </w:r>
      <w:r w:rsidR="00B05444">
        <w:rPr>
          <w:szCs w:val="24"/>
        </w:rPr>
        <w:t>it is never addressed</w:t>
      </w:r>
      <w:r w:rsidR="00E83A78">
        <w:rPr>
          <w:szCs w:val="24"/>
        </w:rPr>
        <w:t xml:space="preserve"> </w:t>
      </w:r>
      <w:r w:rsidR="00255072">
        <w:rPr>
          <w:szCs w:val="24"/>
        </w:rPr>
        <w:t>—</w:t>
      </w:r>
      <w:r w:rsidR="00E83A78">
        <w:rPr>
          <w:szCs w:val="24"/>
        </w:rPr>
        <w:t xml:space="preserve"> e</w:t>
      </w:r>
      <w:r w:rsidR="0006544E">
        <w:rPr>
          <w:szCs w:val="24"/>
        </w:rPr>
        <w:t xml:space="preserve">ither </w:t>
      </w:r>
      <w:r w:rsidR="00BE1A26">
        <w:rPr>
          <w:szCs w:val="24"/>
        </w:rPr>
        <w:t xml:space="preserve">as a matter of </w:t>
      </w:r>
      <w:r w:rsidR="00E83A78">
        <w:rPr>
          <w:szCs w:val="24"/>
        </w:rPr>
        <w:t>our</w:t>
      </w:r>
      <w:r w:rsidR="005156BB">
        <w:rPr>
          <w:szCs w:val="24"/>
        </w:rPr>
        <w:t xml:space="preserve"> </w:t>
      </w:r>
      <w:r w:rsidR="0016144D">
        <w:rPr>
          <w:szCs w:val="24"/>
        </w:rPr>
        <w:t>statutory</w:t>
      </w:r>
      <w:r w:rsidR="00FA5319">
        <w:rPr>
          <w:szCs w:val="24"/>
        </w:rPr>
        <w:t xml:space="preserve"> </w:t>
      </w:r>
      <w:proofErr w:type="gramStart"/>
      <w:r w:rsidR="00FA5319">
        <w:rPr>
          <w:szCs w:val="24"/>
        </w:rPr>
        <w:t>or</w:t>
      </w:r>
      <w:r w:rsidR="005076C3">
        <w:rPr>
          <w:szCs w:val="24"/>
        </w:rPr>
        <w:t>,</w:t>
      </w:r>
      <w:proofErr w:type="gramEnd"/>
      <w:r w:rsidR="005076C3">
        <w:rPr>
          <w:szCs w:val="24"/>
        </w:rPr>
        <w:t xml:space="preserve"> now,</w:t>
      </w:r>
      <w:r w:rsidR="00FA5319">
        <w:rPr>
          <w:szCs w:val="24"/>
        </w:rPr>
        <w:t xml:space="preserve"> judicial</w:t>
      </w:r>
      <w:r w:rsidR="00BE1A26">
        <w:rPr>
          <w:szCs w:val="24"/>
        </w:rPr>
        <w:t xml:space="preserve"> </w:t>
      </w:r>
      <w:r w:rsidR="0016144D">
        <w:rPr>
          <w:szCs w:val="24"/>
        </w:rPr>
        <w:t>regime</w:t>
      </w:r>
      <w:r w:rsidR="00FA5319">
        <w:rPr>
          <w:szCs w:val="24"/>
        </w:rPr>
        <w:t>s</w:t>
      </w:r>
      <w:r w:rsidR="0016144D">
        <w:rPr>
          <w:szCs w:val="24"/>
        </w:rPr>
        <w:t xml:space="preserve">. </w:t>
      </w:r>
      <w:r w:rsidR="007B14E2">
        <w:rPr>
          <w:szCs w:val="24"/>
        </w:rPr>
        <w:t>It</w:t>
      </w:r>
      <w:r w:rsidR="00636AE6">
        <w:rPr>
          <w:szCs w:val="24"/>
        </w:rPr>
        <w:t xml:space="preserve">, along </w:t>
      </w:r>
      <w:r w:rsidR="00964BF2">
        <w:rPr>
          <w:szCs w:val="24"/>
        </w:rPr>
        <w:t>with</w:t>
      </w:r>
      <w:r w:rsidR="00636AE6">
        <w:rPr>
          <w:szCs w:val="24"/>
        </w:rPr>
        <w:t xml:space="preserve"> its </w:t>
      </w:r>
      <w:r w:rsidR="0047350F">
        <w:rPr>
          <w:szCs w:val="24"/>
        </w:rPr>
        <w:t>well-known</w:t>
      </w:r>
      <w:r w:rsidR="00636AE6">
        <w:rPr>
          <w:szCs w:val="24"/>
        </w:rPr>
        <w:t xml:space="preserve"> rationale, </w:t>
      </w:r>
      <w:r w:rsidR="00497B65">
        <w:rPr>
          <w:szCs w:val="24"/>
        </w:rPr>
        <w:t>slipped</w:t>
      </w:r>
      <w:r w:rsidR="007B14E2">
        <w:rPr>
          <w:szCs w:val="24"/>
        </w:rPr>
        <w:t xml:space="preserve"> overboard</w:t>
      </w:r>
      <w:r w:rsidR="00490F3B">
        <w:rPr>
          <w:szCs w:val="24"/>
        </w:rPr>
        <w:t>, unnoticed it seems,</w:t>
      </w:r>
      <w:r w:rsidR="007B14E2">
        <w:rPr>
          <w:szCs w:val="24"/>
        </w:rPr>
        <w:t xml:space="preserve"> during the voyage </w:t>
      </w:r>
      <w:r w:rsidR="004C74C4">
        <w:rPr>
          <w:szCs w:val="24"/>
        </w:rPr>
        <w:t>i</w:t>
      </w:r>
      <w:r w:rsidR="0092751F">
        <w:rPr>
          <w:szCs w:val="24"/>
        </w:rPr>
        <w:t>n</w:t>
      </w:r>
      <w:r w:rsidR="004C74C4">
        <w:rPr>
          <w:szCs w:val="24"/>
        </w:rPr>
        <w:t xml:space="preserve">to Chartered waters </w:t>
      </w:r>
      <w:r w:rsidR="000E16FE">
        <w:rPr>
          <w:szCs w:val="24"/>
        </w:rPr>
        <w:t>undertaken in</w:t>
      </w:r>
      <w:r w:rsidR="0092751F">
        <w:rPr>
          <w:szCs w:val="24"/>
        </w:rPr>
        <w:t xml:space="preserve"> </w:t>
      </w:r>
      <w:r w:rsidR="0092751F" w:rsidRPr="00BB1686">
        <w:rPr>
          <w:i/>
          <w:iCs/>
          <w:szCs w:val="24"/>
        </w:rPr>
        <w:t>Casinos de Quebe</w:t>
      </w:r>
      <w:r w:rsidR="00BB1686">
        <w:rPr>
          <w:i/>
          <w:iCs/>
          <w:szCs w:val="24"/>
        </w:rPr>
        <w:t>c</w:t>
      </w:r>
      <w:r w:rsidR="00BB1686" w:rsidRPr="00BB1686">
        <w:rPr>
          <w:szCs w:val="24"/>
        </w:rPr>
        <w:t xml:space="preserve"> and</w:t>
      </w:r>
      <w:r w:rsidR="00BB1686">
        <w:rPr>
          <w:i/>
          <w:iCs/>
          <w:szCs w:val="24"/>
        </w:rPr>
        <w:t xml:space="preserve"> </w:t>
      </w:r>
      <w:r w:rsidR="0092751F">
        <w:rPr>
          <w:szCs w:val="24"/>
        </w:rPr>
        <w:t>remains, as of this writing,</w:t>
      </w:r>
      <w:r w:rsidR="004C74C4">
        <w:rPr>
          <w:szCs w:val="24"/>
        </w:rPr>
        <w:t xml:space="preserve"> lost at sea.</w:t>
      </w:r>
      <w:r w:rsidR="00C7257C">
        <w:rPr>
          <w:szCs w:val="24"/>
        </w:rPr>
        <w:t xml:space="preserve"> </w:t>
      </w:r>
    </w:p>
    <w:p w14:paraId="595D9033" w14:textId="1C2CE880" w:rsidR="00964BF2" w:rsidRPr="004D1AC3" w:rsidRDefault="00964BF2" w:rsidP="000730C6">
      <w:pPr>
        <w:spacing w:line="240" w:lineRule="auto"/>
        <w:rPr>
          <w:szCs w:val="24"/>
        </w:rPr>
      </w:pPr>
      <w:r>
        <w:rPr>
          <w:szCs w:val="24"/>
        </w:rPr>
        <w:t xml:space="preserve"> </w:t>
      </w:r>
      <w:r w:rsidR="0047350F">
        <w:rPr>
          <w:szCs w:val="24"/>
        </w:rPr>
        <w:t>Th</w:t>
      </w:r>
      <w:r w:rsidR="007039CA">
        <w:rPr>
          <w:szCs w:val="24"/>
        </w:rPr>
        <w:t xml:space="preserve">is particular tragedy, </w:t>
      </w:r>
      <w:r w:rsidR="000375F4">
        <w:rPr>
          <w:szCs w:val="24"/>
        </w:rPr>
        <w:t xml:space="preserve">along </w:t>
      </w:r>
      <w:r w:rsidR="007039CA">
        <w:rPr>
          <w:szCs w:val="24"/>
        </w:rPr>
        <w:t>with that visited upon the test for 2(d) violations</w:t>
      </w:r>
      <w:r w:rsidR="000375F4">
        <w:rPr>
          <w:szCs w:val="24"/>
        </w:rPr>
        <w:t>, was avoidable</w:t>
      </w:r>
      <w:r w:rsidR="00C277B0">
        <w:rPr>
          <w:szCs w:val="24"/>
        </w:rPr>
        <w:t>. The s</w:t>
      </w:r>
      <w:r w:rsidR="00C71375">
        <w:rPr>
          <w:szCs w:val="24"/>
        </w:rPr>
        <w:t>.</w:t>
      </w:r>
      <w:r w:rsidR="00C277B0">
        <w:rPr>
          <w:szCs w:val="24"/>
        </w:rPr>
        <w:t xml:space="preserve"> 15 life preserver was there all along.</w:t>
      </w:r>
      <w:r w:rsidR="00C71375">
        <w:rPr>
          <w:szCs w:val="24"/>
        </w:rPr>
        <w:t xml:space="preserve"> And still is.</w:t>
      </w:r>
    </w:p>
    <w:sectPr w:rsidR="00964BF2" w:rsidRPr="004D1AC3" w:rsidSect="008F35A9">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B02F" w14:textId="77777777" w:rsidR="00F56EE7" w:rsidRDefault="00F56EE7" w:rsidP="00257AA1">
      <w:pPr>
        <w:spacing w:after="0" w:line="240" w:lineRule="auto"/>
      </w:pPr>
      <w:r>
        <w:separator/>
      </w:r>
    </w:p>
  </w:endnote>
  <w:endnote w:type="continuationSeparator" w:id="0">
    <w:p w14:paraId="21A54720" w14:textId="77777777" w:rsidR="00F56EE7" w:rsidRDefault="00F56EE7" w:rsidP="0025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022709"/>
      <w:docPartObj>
        <w:docPartGallery w:val="Page Numbers (Bottom of Page)"/>
        <w:docPartUnique/>
      </w:docPartObj>
    </w:sdtPr>
    <w:sdtEndPr>
      <w:rPr>
        <w:noProof/>
      </w:rPr>
    </w:sdtEndPr>
    <w:sdtContent>
      <w:p w14:paraId="169B8B79" w14:textId="2CAF68F0" w:rsidR="008F35A9" w:rsidRDefault="008F35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709D3" w14:textId="77777777" w:rsidR="008F35A9" w:rsidRDefault="008F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2C43" w14:textId="77777777" w:rsidR="00F56EE7" w:rsidRDefault="00F56EE7" w:rsidP="00257AA1">
      <w:pPr>
        <w:spacing w:after="0" w:line="240" w:lineRule="auto"/>
      </w:pPr>
      <w:r>
        <w:separator/>
      </w:r>
    </w:p>
  </w:footnote>
  <w:footnote w:type="continuationSeparator" w:id="0">
    <w:p w14:paraId="4D04FF9F" w14:textId="77777777" w:rsidR="00F56EE7" w:rsidRDefault="00F56EE7" w:rsidP="00257AA1">
      <w:pPr>
        <w:spacing w:after="0" w:line="240" w:lineRule="auto"/>
      </w:pPr>
      <w:r>
        <w:continuationSeparator/>
      </w:r>
    </w:p>
  </w:footnote>
  <w:footnote w:id="1">
    <w:p w14:paraId="7FACB231" w14:textId="362D11B2" w:rsidR="001A5551" w:rsidRDefault="001A5551">
      <w:pPr>
        <w:pStyle w:val="FootnoteText"/>
      </w:pPr>
      <w:r>
        <w:rPr>
          <w:rStyle w:val="FootnoteReference"/>
        </w:rPr>
        <w:footnoteRef/>
      </w:r>
      <w:r>
        <w:t xml:space="preserve"> </w:t>
      </w:r>
      <w:r w:rsidR="007C243E">
        <w:t>See, for</w:t>
      </w:r>
      <w:r>
        <w:t xml:space="preserve"> </w:t>
      </w:r>
      <w:r w:rsidR="00B67E34">
        <w:t xml:space="preserve">its </w:t>
      </w:r>
      <w:r w:rsidR="00C61AE2">
        <w:t>history and background</w:t>
      </w:r>
      <w:r w:rsidR="00B67E34">
        <w:t>,</w:t>
      </w:r>
      <w:r w:rsidR="00B67E34" w:rsidRPr="00B67E34">
        <w:t xml:space="preserve"> </w:t>
      </w:r>
      <w:r w:rsidR="00B67E34">
        <w:t>Eric Tucker, “</w:t>
      </w:r>
      <w:r w:rsidR="001C221F" w:rsidRPr="001C221F">
        <w:t>The Supreme Court of Canada’s Misguided Gamble That Liberal Voluntarism Provides Meaningful Access to Collective Bargaining</w:t>
      </w:r>
      <w:r w:rsidR="00B67E34">
        <w:t>”</w:t>
      </w:r>
      <w:r w:rsidR="00DD05E1">
        <w:t xml:space="preserve"> [Tucker, “</w:t>
      </w:r>
      <w:r w:rsidR="00712DF7">
        <w:t>Liberal</w:t>
      </w:r>
      <w:r w:rsidR="00DD05E1">
        <w:t xml:space="preserve"> Voluntarism”]</w:t>
      </w:r>
      <w:r w:rsidR="00B67E34">
        <w:t>.</w:t>
      </w:r>
    </w:p>
  </w:footnote>
  <w:footnote w:id="2">
    <w:p w14:paraId="4CA92A21" w14:textId="3369BA97" w:rsidR="00C61AE2" w:rsidRDefault="00C61AE2">
      <w:pPr>
        <w:pStyle w:val="FootnoteText"/>
      </w:pPr>
      <w:r>
        <w:rPr>
          <w:rStyle w:val="FootnoteReference"/>
        </w:rPr>
        <w:footnoteRef/>
      </w:r>
      <w:r>
        <w:t xml:space="preserve"> </w:t>
      </w:r>
      <w:r w:rsidR="005B6EF9">
        <w:t>Incl</w:t>
      </w:r>
      <w:r w:rsidR="00685C8E">
        <w:t>uding a dim view of this very case</w:t>
      </w:r>
      <w:r w:rsidR="00EC6871">
        <w:t>,</w:t>
      </w:r>
      <w:r w:rsidR="002C2DA8">
        <w:t xml:space="preserve"> </w:t>
      </w:r>
      <w:r w:rsidR="00EC6871">
        <w:t>s</w:t>
      </w:r>
      <w:r w:rsidR="00191F3A">
        <w:t xml:space="preserve">ee </w:t>
      </w:r>
      <w:r w:rsidR="00A3532E" w:rsidRPr="00F5683B">
        <w:t>Bethany</w:t>
      </w:r>
      <w:r w:rsidR="00A3532E">
        <w:t xml:space="preserve"> Hastie and Keegan Nicol, “Freedom of Association and the Resurrection of Effective Impossibility? </w:t>
      </w:r>
      <w:r w:rsidR="00A3532E" w:rsidRPr="003E15AD">
        <w:rPr>
          <w:lang w:val="fr-FR"/>
        </w:rPr>
        <w:t xml:space="preserve">A Comment on </w:t>
      </w:r>
      <w:proofErr w:type="spellStart"/>
      <w:r w:rsidR="00A3532E" w:rsidRPr="003E15AD">
        <w:rPr>
          <w:i/>
          <w:iCs/>
          <w:lang w:val="fr-FR"/>
        </w:rPr>
        <w:t>Societe</w:t>
      </w:r>
      <w:proofErr w:type="spellEnd"/>
      <w:r w:rsidR="00A3532E" w:rsidRPr="003E15AD">
        <w:rPr>
          <w:i/>
          <w:iCs/>
          <w:lang w:val="fr-FR"/>
        </w:rPr>
        <w:t xml:space="preserve"> des casinos du </w:t>
      </w:r>
      <w:r w:rsidR="0058649B" w:rsidRPr="003E15AD">
        <w:rPr>
          <w:i/>
          <w:iCs/>
          <w:lang w:val="fr-FR"/>
        </w:rPr>
        <w:t>Québec</w:t>
      </w:r>
      <w:r w:rsidR="00A3532E" w:rsidRPr="003E15AD">
        <w:rPr>
          <w:lang w:val="fr-FR"/>
        </w:rPr>
        <w:t xml:space="preserve">”, </w:t>
      </w:r>
      <w:r w:rsidR="00312F73" w:rsidRPr="003E15AD">
        <w:rPr>
          <w:lang w:val="fr-FR"/>
        </w:rPr>
        <w:t xml:space="preserve">Ottawa L </w:t>
      </w:r>
      <w:proofErr w:type="spellStart"/>
      <w:r w:rsidR="00312F73" w:rsidRPr="003E15AD">
        <w:rPr>
          <w:lang w:val="fr-FR"/>
        </w:rPr>
        <w:t>Rev</w:t>
      </w:r>
      <w:proofErr w:type="spellEnd"/>
      <w:r w:rsidR="00312F73" w:rsidRPr="003E15AD">
        <w:rPr>
          <w:lang w:val="fr-FR"/>
        </w:rPr>
        <w:t xml:space="preserve"> (</w:t>
      </w:r>
      <w:proofErr w:type="spellStart"/>
      <w:r w:rsidR="00312F73" w:rsidRPr="003E15AD">
        <w:rPr>
          <w:lang w:val="fr-FR"/>
        </w:rPr>
        <w:t>forthcoming</w:t>
      </w:r>
      <w:proofErr w:type="spellEnd"/>
      <w:r w:rsidR="00312F73" w:rsidRPr="003E15AD">
        <w:rPr>
          <w:lang w:val="fr-FR"/>
        </w:rPr>
        <w:t>)</w:t>
      </w:r>
      <w:r w:rsidR="00312F73">
        <w:rPr>
          <w:lang w:val="fr-FR"/>
        </w:rPr>
        <w:t xml:space="preserve"> </w:t>
      </w:r>
      <w:r w:rsidR="00DF7E91">
        <w:rPr>
          <w:lang w:val="fr-FR"/>
        </w:rPr>
        <w:t>[</w:t>
      </w:r>
      <w:proofErr w:type="spellStart"/>
      <w:r w:rsidR="00DF7E91">
        <w:rPr>
          <w:lang w:val="fr-FR"/>
        </w:rPr>
        <w:t>Hastie</w:t>
      </w:r>
      <w:proofErr w:type="spellEnd"/>
      <w:r w:rsidR="00DF7E91">
        <w:rPr>
          <w:lang w:val="fr-FR"/>
        </w:rPr>
        <w:t xml:space="preserve"> </w:t>
      </w:r>
      <w:r w:rsidR="00312F73">
        <w:rPr>
          <w:lang w:val="fr-FR"/>
        </w:rPr>
        <w:t>&amp;</w:t>
      </w:r>
      <w:r w:rsidR="00DF7E91">
        <w:rPr>
          <w:lang w:val="fr-FR"/>
        </w:rPr>
        <w:t xml:space="preserve"> </w:t>
      </w:r>
      <w:r w:rsidR="00312F73">
        <w:rPr>
          <w:lang w:val="fr-FR"/>
        </w:rPr>
        <w:t xml:space="preserve">Nicol, </w:t>
      </w:r>
      <w:r w:rsidR="00312F73" w:rsidRPr="0000173E">
        <w:rPr>
          <w:lang w:val="fr-FR"/>
        </w:rPr>
        <w:t>“</w:t>
      </w:r>
      <w:r w:rsidR="00312F73">
        <w:rPr>
          <w:lang w:val="fr-FR"/>
        </w:rPr>
        <w:t>Résurrection</w:t>
      </w:r>
      <w:r w:rsidR="00312F73" w:rsidRPr="0000173E">
        <w:rPr>
          <w:lang w:val="fr-FR"/>
        </w:rPr>
        <w:t>”]</w:t>
      </w:r>
      <w:r w:rsidR="003E15AD" w:rsidRPr="003E15AD">
        <w:rPr>
          <w:lang w:val="fr-FR"/>
        </w:rPr>
        <w:t>.</w:t>
      </w:r>
      <w:r w:rsidR="00A3532E" w:rsidRPr="003E15AD">
        <w:rPr>
          <w:lang w:val="fr-FR"/>
        </w:rPr>
        <w:t xml:space="preserve"> </w:t>
      </w:r>
      <w:r w:rsidR="00312F73">
        <w:t>See also</w:t>
      </w:r>
      <w:r w:rsidR="00AC2053" w:rsidRPr="002D5D38">
        <w:t xml:space="preserve"> </w:t>
      </w:r>
      <w:r w:rsidR="00AC2053">
        <w:t>Tucker</w:t>
      </w:r>
      <w:r w:rsidR="00DA6813">
        <w:t>,</w:t>
      </w:r>
      <w:r w:rsidR="00AC2053">
        <w:t xml:space="preserve"> “</w:t>
      </w:r>
      <w:r w:rsidR="00712DF7">
        <w:t>Liberal</w:t>
      </w:r>
      <w:r w:rsidR="00AC2053">
        <w:t xml:space="preserve"> Voluntarism”</w:t>
      </w:r>
      <w:r w:rsidR="00E14FBA">
        <w:t xml:space="preserve">, </w:t>
      </w:r>
      <w:r w:rsidR="00EC6871">
        <w:rPr>
          <w:i/>
          <w:iCs/>
        </w:rPr>
        <w:t>supra</w:t>
      </w:r>
      <w:r w:rsidR="00EC6871">
        <w:t xml:space="preserve"> note </w:t>
      </w:r>
      <w:r w:rsidR="00EC6871">
        <w:fldChar w:fldCharType="begin"/>
      </w:r>
      <w:r w:rsidR="00EC6871">
        <w:instrText xml:space="preserve"> NOTEREF _Ref178582536 \h </w:instrText>
      </w:r>
      <w:r w:rsidR="00EC6871">
        <w:fldChar w:fldCharType="separate"/>
      </w:r>
      <w:r w:rsidR="0058649B">
        <w:t>1</w:t>
      </w:r>
      <w:r w:rsidR="00EC6871">
        <w:fldChar w:fldCharType="end"/>
      </w:r>
      <w:r w:rsidR="002D5D38">
        <w:t xml:space="preserve"> at 2. </w:t>
      </w:r>
      <w:r w:rsidR="00AC2053" w:rsidRPr="00AC2053">
        <w:t>A</w:t>
      </w:r>
      <w:r w:rsidR="00AC2053">
        <w:t>nd</w:t>
      </w:r>
      <w:r w:rsidR="00F670AF">
        <w:t>,</w:t>
      </w:r>
      <w:r w:rsidR="004505FC">
        <w:t xml:space="preserve"> m</w:t>
      </w:r>
      <w:r w:rsidR="00B67E34">
        <w:t xml:space="preserve">ore </w:t>
      </w:r>
      <w:r w:rsidR="00191F3A">
        <w:t>generally</w:t>
      </w:r>
      <w:r w:rsidR="00AC2053">
        <w:t xml:space="preserve"> on the meaning of </w:t>
      </w:r>
      <w:r w:rsidR="00B05EBC">
        <w:t>the ILO’s views</w:t>
      </w:r>
      <w:r w:rsidR="00C848E1">
        <w:t xml:space="preserve"> for Canadian law</w:t>
      </w:r>
      <w:r w:rsidR="00F670AF">
        <w:t>,</w:t>
      </w:r>
      <w:r w:rsidR="00191F3A">
        <w:t xml:space="preserve"> </w:t>
      </w:r>
      <w:r w:rsidR="008A5978">
        <w:t xml:space="preserve">see </w:t>
      </w:r>
      <w:r w:rsidR="00C9614A" w:rsidRPr="00C9614A">
        <w:t>Brian A Langille, "Can We Rely on the ILO</w:t>
      </w:r>
      <w:r w:rsidR="00F670AF">
        <w:t>?</w:t>
      </w:r>
      <w:r w:rsidR="00C9614A" w:rsidRPr="00C9614A">
        <w:t xml:space="preserve">" (2006-07) 13 </w:t>
      </w:r>
      <w:r w:rsidR="00E45211" w:rsidRPr="00E45211">
        <w:t>CLELJ</w:t>
      </w:r>
      <w:r w:rsidR="00C9614A" w:rsidRPr="00C9614A">
        <w:t xml:space="preserve"> 273</w:t>
      </w:r>
      <w:r w:rsidR="00D52701">
        <w:t>.</w:t>
      </w:r>
    </w:p>
  </w:footnote>
  <w:footnote w:id="3">
    <w:p w14:paraId="7122B082" w14:textId="42151549" w:rsidR="007E5481" w:rsidRDefault="007E5481" w:rsidP="00605B5C">
      <w:pPr>
        <w:pStyle w:val="FootnoteText"/>
      </w:pPr>
      <w:r>
        <w:rPr>
          <w:rStyle w:val="FootnoteReference"/>
        </w:rPr>
        <w:footnoteRef/>
      </w:r>
      <w:r>
        <w:t xml:space="preserve"> My term</w:t>
      </w:r>
      <w:r w:rsidR="00605B5C">
        <w:t>, see Brian Langille, "The Freedom of Association Mess: How We Got into It and How We Can</w:t>
      </w:r>
      <w:r w:rsidR="00593497">
        <w:t xml:space="preserve"> </w:t>
      </w:r>
      <w:r w:rsidR="00605B5C">
        <w:t>Get out of It" (2009) 54:1 McGill LJ 177</w:t>
      </w:r>
      <w:r w:rsidR="00B2642E">
        <w:t xml:space="preserve"> at 179</w:t>
      </w:r>
      <w:r w:rsidR="00B2642E" w:rsidRPr="00366C05">
        <w:rPr>
          <w:szCs w:val="24"/>
        </w:rPr>
        <w:t>—</w:t>
      </w:r>
      <w:r w:rsidR="00B2642E">
        <w:rPr>
          <w:szCs w:val="24"/>
        </w:rPr>
        <w:t>81, 204, 208</w:t>
      </w:r>
      <w:r w:rsidR="00B2642E" w:rsidRPr="00366C05">
        <w:rPr>
          <w:szCs w:val="24"/>
        </w:rPr>
        <w:t>—</w:t>
      </w:r>
      <w:r w:rsidR="00B2642E">
        <w:rPr>
          <w:szCs w:val="24"/>
        </w:rPr>
        <w:t>12</w:t>
      </w:r>
      <w:r w:rsidR="00383D54">
        <w:rPr>
          <w:szCs w:val="24"/>
        </w:rPr>
        <w:t xml:space="preserve"> [Langille, “</w:t>
      </w:r>
      <w:r w:rsidR="00383D54">
        <w:t>Freedom of Association Mess</w:t>
      </w:r>
      <w:r w:rsidR="00383D54">
        <w:rPr>
          <w:szCs w:val="24"/>
        </w:rPr>
        <w:t>”]</w:t>
      </w:r>
      <w:r w:rsidR="002B7EC6">
        <w:t>.</w:t>
      </w:r>
    </w:p>
  </w:footnote>
  <w:footnote w:id="4">
    <w:p w14:paraId="5FA98E29" w14:textId="1FFC5326" w:rsidR="00293D78" w:rsidRDefault="00293D78">
      <w:pPr>
        <w:pStyle w:val="FootnoteText"/>
      </w:pPr>
      <w:r>
        <w:rPr>
          <w:rStyle w:val="FootnoteReference"/>
        </w:rPr>
        <w:footnoteRef/>
      </w:r>
      <w:r>
        <w:t xml:space="preserve"> </w:t>
      </w:r>
      <w:r w:rsidR="00226D16" w:rsidRPr="00226D16">
        <w:t>The Supreme Court of Canada</w:t>
      </w:r>
      <w:r w:rsidR="00226D16">
        <w:t>’</w:t>
      </w:r>
      <w:r>
        <w:t>s term</w:t>
      </w:r>
      <w:r w:rsidR="00884AD2">
        <w:t xml:space="preserve">, </w:t>
      </w:r>
      <w:r>
        <w:t xml:space="preserve">see </w:t>
      </w:r>
      <w:r w:rsidR="00226D16" w:rsidRPr="0051357C">
        <w:rPr>
          <w:i/>
          <w:iCs/>
        </w:rPr>
        <w:t xml:space="preserve">Plourde </w:t>
      </w:r>
      <w:r w:rsidR="005A6F05">
        <w:rPr>
          <w:i/>
          <w:iCs/>
        </w:rPr>
        <w:t>v</w:t>
      </w:r>
      <w:r w:rsidR="00226D16" w:rsidRPr="0051357C">
        <w:rPr>
          <w:i/>
          <w:iCs/>
        </w:rPr>
        <w:t xml:space="preserve"> </w:t>
      </w:r>
      <w:r w:rsidR="00624F3A" w:rsidRPr="00624F3A">
        <w:rPr>
          <w:i/>
          <w:iCs/>
        </w:rPr>
        <w:t>Wal-Mart Canada Corp</w:t>
      </w:r>
      <w:r w:rsidR="00226D16" w:rsidRPr="00226D16">
        <w:t xml:space="preserve">, </w:t>
      </w:r>
      <w:r w:rsidR="00870F72" w:rsidRPr="00870F72">
        <w:t>2009 SCC 54</w:t>
      </w:r>
      <w:r w:rsidR="00870F72">
        <w:t xml:space="preserve"> at para 5</w:t>
      </w:r>
      <w:r w:rsidR="004E3874">
        <w:t>6</w:t>
      </w:r>
      <w:r w:rsidR="000D177F">
        <w:t>.</w:t>
      </w:r>
    </w:p>
  </w:footnote>
  <w:footnote w:id="5">
    <w:p w14:paraId="38285C18" w14:textId="0C022204" w:rsidR="00DE1FE2" w:rsidRDefault="00DE1FE2">
      <w:pPr>
        <w:pStyle w:val="FootnoteText"/>
      </w:pPr>
      <w:r>
        <w:rPr>
          <w:rStyle w:val="FootnoteReference"/>
        </w:rPr>
        <w:footnoteRef/>
      </w:r>
      <w:r>
        <w:t xml:space="preserve"> On the meaning and significance of the right/ freedom distinction</w:t>
      </w:r>
      <w:r w:rsidR="00256E54">
        <w:t>,</w:t>
      </w:r>
      <w:r>
        <w:t xml:space="preserve"> see</w:t>
      </w:r>
      <w:r w:rsidR="00183008">
        <w:t xml:space="preserve"> </w:t>
      </w:r>
      <w:r w:rsidR="00183008" w:rsidRPr="00F91DA2">
        <w:t xml:space="preserve">Brian Langille, "Why the Right-Freedom Distinction Matters to labor Lawyers - And to All Canadians" (2011) 34:1 Dal LJ 143 </w:t>
      </w:r>
      <w:r w:rsidR="00183008">
        <w:t>at 153</w:t>
      </w:r>
      <w:r w:rsidR="00183008" w:rsidRPr="00366C05">
        <w:rPr>
          <w:szCs w:val="24"/>
        </w:rPr>
        <w:t>—</w:t>
      </w:r>
      <w:r w:rsidR="00183008">
        <w:t xml:space="preserve">55 </w:t>
      </w:r>
      <w:r w:rsidR="00183008" w:rsidRPr="00F91DA2">
        <w:t>[Langille, “Right-Freedom Distinction”]</w:t>
      </w:r>
      <w:r w:rsidR="00183008">
        <w:t>.</w:t>
      </w:r>
    </w:p>
  </w:footnote>
  <w:footnote w:id="6">
    <w:p w14:paraId="578C03BE" w14:textId="171097E7" w:rsidR="006300A7" w:rsidRDefault="006300A7" w:rsidP="005E48B9">
      <w:pPr>
        <w:pStyle w:val="FootnoteText"/>
      </w:pPr>
      <w:r>
        <w:rPr>
          <w:rStyle w:val="FootnoteReference"/>
        </w:rPr>
        <w:footnoteRef/>
      </w:r>
      <w:r>
        <w:t xml:space="preserve"> </w:t>
      </w:r>
      <w:r w:rsidR="0022102A">
        <w:t>Tucker</w:t>
      </w:r>
      <w:r w:rsidR="008E4785">
        <w:t>,</w:t>
      </w:r>
      <w:r w:rsidR="000554D9">
        <w:t xml:space="preserve"> “</w:t>
      </w:r>
      <w:r w:rsidR="0053377A">
        <w:t>Liberal</w:t>
      </w:r>
      <w:r w:rsidR="000554D9">
        <w:t xml:space="preserve"> Volu</w:t>
      </w:r>
      <w:r w:rsidR="00F26A27">
        <w:t>n</w:t>
      </w:r>
      <w:r w:rsidR="000554D9">
        <w:t>tarism”</w:t>
      </w:r>
      <w:r w:rsidR="00DE298F">
        <w:t xml:space="preserve">, </w:t>
      </w:r>
      <w:r w:rsidR="00DE298F">
        <w:rPr>
          <w:i/>
          <w:iCs/>
        </w:rPr>
        <w:t>supra</w:t>
      </w:r>
      <w:r w:rsidR="00DE298F">
        <w:t xml:space="preserve"> note </w:t>
      </w:r>
      <w:r w:rsidR="00DE298F">
        <w:fldChar w:fldCharType="begin"/>
      </w:r>
      <w:r w:rsidR="00DE298F">
        <w:instrText xml:space="preserve"> NOTEREF _Ref178582536 \h </w:instrText>
      </w:r>
      <w:r w:rsidR="00DE298F">
        <w:fldChar w:fldCharType="separate"/>
      </w:r>
      <w:r w:rsidR="0058649B">
        <w:t>1</w:t>
      </w:r>
      <w:r w:rsidR="00DE298F">
        <w:fldChar w:fldCharType="end"/>
      </w:r>
      <w:r w:rsidR="00DE298F">
        <w:t xml:space="preserve"> at </w:t>
      </w:r>
      <w:r w:rsidR="00F27673">
        <w:t xml:space="preserve">3. </w:t>
      </w:r>
      <w:r w:rsidR="00CD47D2">
        <w:t>If, dear reader</w:t>
      </w:r>
      <w:r w:rsidR="00CA594F">
        <w:t>,</w:t>
      </w:r>
      <w:r w:rsidR="00F27673">
        <w:t xml:space="preserve"> </w:t>
      </w:r>
      <w:r w:rsidR="00B93334">
        <w:t xml:space="preserve">any of </w:t>
      </w:r>
      <w:r w:rsidR="00CD47D2">
        <w:t>this seems unclear</w:t>
      </w:r>
      <w:r w:rsidR="00F27673">
        <w:t>, you may</w:t>
      </w:r>
      <w:r w:rsidR="00F951C5">
        <w:t xml:space="preserve"> be in the same</w:t>
      </w:r>
      <w:r w:rsidR="00F26A27">
        <w:t xml:space="preserve"> unfortunate</w:t>
      </w:r>
      <w:r w:rsidR="00F951C5">
        <w:t xml:space="preserve"> boat as the </w:t>
      </w:r>
      <w:r w:rsidR="00DE298F" w:rsidRPr="008125A8">
        <w:rPr>
          <w:szCs w:val="24"/>
        </w:rPr>
        <w:t>Supreme Court of Canada</w:t>
      </w:r>
      <w:r w:rsidR="00DE298F" w:rsidRPr="004D1AC3">
        <w:rPr>
          <w:szCs w:val="24"/>
        </w:rPr>
        <w:t xml:space="preserve"> </w:t>
      </w:r>
      <w:r w:rsidR="00DE298F">
        <w:rPr>
          <w:szCs w:val="24"/>
        </w:rPr>
        <w:t>(“</w:t>
      </w:r>
      <w:r w:rsidR="00DE298F" w:rsidRPr="004D1AC3">
        <w:rPr>
          <w:szCs w:val="24"/>
        </w:rPr>
        <w:t>SCC</w:t>
      </w:r>
      <w:r w:rsidR="00DE298F">
        <w:rPr>
          <w:szCs w:val="24"/>
        </w:rPr>
        <w:t xml:space="preserve">”), </w:t>
      </w:r>
      <w:r w:rsidR="00F26A27">
        <w:t xml:space="preserve">see </w:t>
      </w:r>
      <w:r w:rsidR="00CD47D2">
        <w:t>Langille</w:t>
      </w:r>
      <w:r w:rsidR="00DE298F">
        <w:t>,</w:t>
      </w:r>
      <w:r w:rsidR="00CA594F">
        <w:t xml:space="preserve"> “Right-Freedom Distinction”</w:t>
      </w:r>
      <w:r w:rsidR="00DE298F">
        <w:t xml:space="preserve">, </w:t>
      </w:r>
      <w:r w:rsidR="00DE298F">
        <w:rPr>
          <w:i/>
          <w:iCs/>
        </w:rPr>
        <w:t>supra</w:t>
      </w:r>
      <w:r w:rsidR="00DE298F">
        <w:t xml:space="preserve"> note </w:t>
      </w:r>
      <w:r w:rsidR="00DE298F">
        <w:fldChar w:fldCharType="begin"/>
      </w:r>
      <w:r w:rsidR="00DE298F">
        <w:instrText xml:space="preserve"> NOTEREF _Ref178936886 \h </w:instrText>
      </w:r>
      <w:r w:rsidR="00DE298F">
        <w:fldChar w:fldCharType="separate"/>
      </w:r>
      <w:r w:rsidR="0058649B">
        <w:t>5</w:t>
      </w:r>
      <w:r w:rsidR="00DE298F">
        <w:fldChar w:fldCharType="end"/>
      </w:r>
      <w:r w:rsidR="00CA594F">
        <w:t xml:space="preserve">. </w:t>
      </w:r>
      <w:r w:rsidR="00B856C9">
        <w:t xml:space="preserve">For </w:t>
      </w:r>
      <w:r w:rsidR="00DE298F">
        <w:t xml:space="preserve">more </w:t>
      </w:r>
      <w:r w:rsidR="00B856C9">
        <w:t>clarification</w:t>
      </w:r>
      <w:r w:rsidR="00DE298F">
        <w:t>,</w:t>
      </w:r>
      <w:r w:rsidR="00B856C9">
        <w:t xml:space="preserve"> see</w:t>
      </w:r>
      <w:r w:rsidR="005E48B9">
        <w:t xml:space="preserve"> generally</w:t>
      </w:r>
      <w:r w:rsidR="00B856C9">
        <w:t xml:space="preserve"> </w:t>
      </w:r>
      <w:r w:rsidR="005E48B9">
        <w:t xml:space="preserve">Wesley Newcomb </w:t>
      </w:r>
      <w:proofErr w:type="spellStart"/>
      <w:r w:rsidR="005E48B9">
        <w:t>Hohfeld</w:t>
      </w:r>
      <w:proofErr w:type="spellEnd"/>
      <w:r w:rsidR="005E48B9">
        <w:t xml:space="preserve">, "Fundamental Legal Conceptions as Applied in Judicial Reasoning" (1916-17) 26:8 Yale LJ 710; Wesley Newcomb </w:t>
      </w:r>
      <w:proofErr w:type="spellStart"/>
      <w:r w:rsidR="005E48B9">
        <w:t>Hohfeld</w:t>
      </w:r>
      <w:proofErr w:type="spellEnd"/>
      <w:r w:rsidR="005E48B9">
        <w:t xml:space="preserve">, "Some Fundamental Legal Conceptions as Applied in Judicial Reasoning" (1913-14) 23:1 Yale LJ 16. </w:t>
      </w:r>
      <w:r w:rsidR="00F951C5">
        <w:t>And</w:t>
      </w:r>
      <w:r w:rsidR="00B856C9">
        <w:t xml:space="preserve">, for </w:t>
      </w:r>
      <w:r w:rsidR="00DE298F">
        <w:t xml:space="preserve">a </w:t>
      </w:r>
      <w:r w:rsidR="00CE0C53">
        <w:t xml:space="preserve">scintillating </w:t>
      </w:r>
      <w:r w:rsidR="00B856C9">
        <w:t xml:space="preserve">demonstration of the </w:t>
      </w:r>
      <w:r w:rsidR="00CE0C53">
        <w:t>importance</w:t>
      </w:r>
      <w:r w:rsidR="00B856C9">
        <w:t xml:space="preserve"> of these legal basic</w:t>
      </w:r>
      <w:r w:rsidR="00CE0C53">
        <w:t>s</w:t>
      </w:r>
      <w:r w:rsidR="00B856C9">
        <w:t xml:space="preserve"> </w:t>
      </w:r>
      <w:r w:rsidR="00CE0C53">
        <w:t>for</w:t>
      </w:r>
      <w:r w:rsidR="00B856C9">
        <w:t xml:space="preserve"> labour lawyers</w:t>
      </w:r>
      <w:r w:rsidR="00CE0C53">
        <w:t>,</w:t>
      </w:r>
      <w:r w:rsidR="00F951C5">
        <w:t xml:space="preserve"> see </w:t>
      </w:r>
      <w:r w:rsidR="002F4386">
        <w:t>Walter Wheeler Cook</w:t>
      </w:r>
      <w:r w:rsidR="00DE298F">
        <w:t>,</w:t>
      </w:r>
      <w:r w:rsidR="004D5885" w:rsidRPr="004D5885">
        <w:t xml:space="preserve"> "Privileges of Labor Unions in the Struggle for Life" (</w:t>
      </w:r>
      <w:r w:rsidR="00DE298F">
        <w:t>1917-</w:t>
      </w:r>
      <w:r w:rsidR="004D5885" w:rsidRPr="004D5885">
        <w:t>18) 27:6</w:t>
      </w:r>
      <w:r w:rsidR="00F26A27">
        <w:t xml:space="preserve"> </w:t>
      </w:r>
      <w:r w:rsidR="004D5885" w:rsidRPr="004D5885">
        <w:t xml:space="preserve">Yale </w:t>
      </w:r>
      <w:r w:rsidR="004D5885" w:rsidRPr="00F26A27">
        <w:t>LJ</w:t>
      </w:r>
      <w:r w:rsidR="00DE298F">
        <w:t xml:space="preserve"> 779</w:t>
      </w:r>
      <w:r w:rsidR="00F26A27">
        <w:t>.</w:t>
      </w:r>
    </w:p>
  </w:footnote>
  <w:footnote w:id="7">
    <w:p w14:paraId="3A3106CF" w14:textId="4030C776" w:rsidR="009A3001" w:rsidRDefault="00F35904" w:rsidP="009A3001">
      <w:pPr>
        <w:pStyle w:val="FootnoteText"/>
      </w:pPr>
      <w:r>
        <w:rPr>
          <w:rStyle w:val="FootnoteReference"/>
        </w:rPr>
        <w:footnoteRef/>
      </w:r>
      <w:r>
        <w:t xml:space="preserve"> </w:t>
      </w:r>
      <w:r w:rsidRPr="009A3001">
        <w:t>On this idea generally</w:t>
      </w:r>
      <w:r w:rsidR="00256E54">
        <w:t>,</w:t>
      </w:r>
      <w:r w:rsidRPr="009A3001">
        <w:t xml:space="preserve"> see </w:t>
      </w:r>
      <w:r w:rsidR="009A3001">
        <w:t>Bora Laskin, "The Protection of Interests by Statute and the Problem of Contracting</w:t>
      </w:r>
    </w:p>
    <w:p w14:paraId="7F50FBD0" w14:textId="77777777" w:rsidR="0027487E" w:rsidRDefault="009A3001" w:rsidP="0027487E">
      <w:pPr>
        <w:pStyle w:val="FootnoteText"/>
      </w:pPr>
      <w:r>
        <w:t xml:space="preserve">out" (1938) 16:9 Can B Rev 669 at 669, 674 </w:t>
      </w:r>
      <w:r w:rsidR="00F35904" w:rsidRPr="009A3001">
        <w:t>(</w:t>
      </w:r>
      <w:r w:rsidR="0027487E">
        <w:t>Laskin</w:t>
      </w:r>
      <w:r w:rsidR="0027487E" w:rsidRPr="009A3001">
        <w:t xml:space="preserve"> </w:t>
      </w:r>
      <w:r w:rsidR="0027487E">
        <w:t xml:space="preserve">writes, </w:t>
      </w:r>
      <w:r w:rsidR="0027487E" w:rsidRPr="009A3001">
        <w:t>“</w:t>
      </w:r>
      <w:r w:rsidR="0027487E">
        <w:t>Law exists for the sake of enlarging the liberty of men, and as a consequence there must be restrictions on the liberty of man; based on this premise, law is to be regarded</w:t>
      </w:r>
    </w:p>
    <w:p w14:paraId="75874019" w14:textId="60D94B2E" w:rsidR="00F35904" w:rsidRDefault="0027487E" w:rsidP="0027487E">
      <w:pPr>
        <w:pStyle w:val="FootnoteText"/>
      </w:pPr>
      <w:r>
        <w:t>primarily as a system of duties, involving the proper recognition of the interests of others as a necessary limitation upon self-interest” at 669.</w:t>
      </w:r>
      <w:r w:rsidR="00F35904" w:rsidRPr="009A3001">
        <w:t>)</w:t>
      </w:r>
    </w:p>
  </w:footnote>
  <w:footnote w:id="8">
    <w:p w14:paraId="15B05CDC" w14:textId="46F98B77" w:rsidR="0041327D" w:rsidRDefault="0041327D">
      <w:pPr>
        <w:pStyle w:val="FootnoteText"/>
      </w:pPr>
      <w:r>
        <w:rPr>
          <w:rStyle w:val="FootnoteReference"/>
        </w:rPr>
        <w:footnoteRef/>
      </w:r>
      <w:r>
        <w:t xml:space="preserve"> </w:t>
      </w:r>
      <w:r w:rsidRPr="002C4098">
        <w:t xml:space="preserve">Except the </w:t>
      </w:r>
      <w:r w:rsidR="00A847FF" w:rsidRPr="002C4098">
        <w:t xml:space="preserve">SCC? See infra at n. </w:t>
      </w:r>
      <w:r w:rsidR="00B67E34" w:rsidRPr="002C4098">
        <w:t xml:space="preserve">  </w:t>
      </w:r>
      <w:r w:rsidR="000D177F" w:rsidRPr="002C4098">
        <w:t>and text</w:t>
      </w:r>
      <w:r w:rsidR="00A847FF" w:rsidRPr="002C4098">
        <w:t>.</w:t>
      </w:r>
    </w:p>
  </w:footnote>
  <w:footnote w:id="9">
    <w:p w14:paraId="4B2D6F7B" w14:textId="698A04F2" w:rsidR="004A66AD" w:rsidRDefault="004A66AD">
      <w:pPr>
        <w:pStyle w:val="FootnoteText"/>
      </w:pPr>
      <w:r>
        <w:rPr>
          <w:rStyle w:val="FootnoteReference"/>
        </w:rPr>
        <w:footnoteRef/>
      </w:r>
      <w:r>
        <w:t xml:space="preserve"> </w:t>
      </w:r>
      <w:r w:rsidR="00AC41FC">
        <w:t>On this score</w:t>
      </w:r>
      <w:r w:rsidR="00916723">
        <w:t>,</w:t>
      </w:r>
      <w:r w:rsidR="00AC41FC">
        <w:t xml:space="preserve"> </w:t>
      </w:r>
      <w:r w:rsidR="00C76E85">
        <w:t xml:space="preserve">the </w:t>
      </w:r>
      <w:r w:rsidR="00C76E85" w:rsidRPr="004A66AD">
        <w:t>“</w:t>
      </w:r>
      <w:r w:rsidRPr="004A66AD">
        <w:t>agricultural exclusion</w:t>
      </w:r>
      <w:r w:rsidR="00AC41FC">
        <w:t>”</w:t>
      </w:r>
      <w:r w:rsidRPr="004A66AD">
        <w:t xml:space="preserve"> is</w:t>
      </w:r>
      <w:r w:rsidR="00AC41FC">
        <w:t>, for example</w:t>
      </w:r>
      <w:r w:rsidR="00B53EB5">
        <w:t>,</w:t>
      </w:r>
      <w:r w:rsidRPr="004A66AD">
        <w:t xml:space="preserve"> irrational.</w:t>
      </w:r>
    </w:p>
  </w:footnote>
  <w:footnote w:id="10">
    <w:p w14:paraId="205FD36E" w14:textId="2D2A0A84" w:rsidR="007E19F6" w:rsidRDefault="007E19F6">
      <w:pPr>
        <w:pStyle w:val="FootnoteText"/>
      </w:pPr>
      <w:r>
        <w:rPr>
          <w:rStyle w:val="FootnoteReference"/>
        </w:rPr>
        <w:footnoteRef/>
      </w:r>
      <w:r>
        <w:t xml:space="preserve"> </w:t>
      </w:r>
      <w:r w:rsidR="00941CF4" w:rsidRPr="00941CF4">
        <w:t xml:space="preserve">1974 </w:t>
      </w:r>
      <w:proofErr w:type="spellStart"/>
      <w:r w:rsidR="00941CF4" w:rsidRPr="00941CF4">
        <w:t>CarswellBC</w:t>
      </w:r>
      <w:proofErr w:type="spellEnd"/>
      <w:r w:rsidR="00941CF4" w:rsidRPr="00941CF4">
        <w:t xml:space="preserve"> 704 </w:t>
      </w:r>
      <w:r w:rsidR="00941CF4">
        <w:t xml:space="preserve">(WL Can), </w:t>
      </w:r>
      <w:r w:rsidRPr="007E19F6">
        <w:t>[1974] 1 CLRBR 1 (BCLRB)</w:t>
      </w:r>
      <w:r w:rsidR="00464168">
        <w:t>.</w:t>
      </w:r>
    </w:p>
  </w:footnote>
  <w:footnote w:id="11">
    <w:p w14:paraId="56E4A4AE" w14:textId="2E430602" w:rsidR="00152EDB" w:rsidRPr="000241BC" w:rsidRDefault="00152EDB">
      <w:pPr>
        <w:pStyle w:val="FootnoteText"/>
        <w:rPr>
          <w:lang w:val="en-US"/>
        </w:rPr>
      </w:pPr>
      <w:r>
        <w:rPr>
          <w:rStyle w:val="FootnoteReference"/>
        </w:rPr>
        <w:footnoteRef/>
      </w:r>
      <w:r>
        <w:t xml:space="preserve"> </w:t>
      </w:r>
      <w:r>
        <w:rPr>
          <w:i/>
          <w:iCs/>
          <w:lang w:val="en-US"/>
        </w:rPr>
        <w:t xml:space="preserve">Ibid </w:t>
      </w:r>
      <w:r>
        <w:rPr>
          <w:lang w:val="en-US"/>
        </w:rPr>
        <w:t xml:space="preserve">at </w:t>
      </w:r>
      <w:r w:rsidR="00F5189D">
        <w:rPr>
          <w:lang w:val="en-US"/>
        </w:rPr>
        <w:t>para 9</w:t>
      </w:r>
      <w:r w:rsidR="00001AF0">
        <w:rPr>
          <w:lang w:val="en-US"/>
        </w:rPr>
        <w:t>.</w:t>
      </w:r>
    </w:p>
  </w:footnote>
  <w:footnote w:id="12">
    <w:p w14:paraId="65DB8AFB" w14:textId="6FE50182" w:rsidR="0023628A" w:rsidRPr="000241BC" w:rsidRDefault="0023628A">
      <w:pPr>
        <w:pStyle w:val="FootnoteText"/>
        <w:rPr>
          <w:lang w:val="en-US"/>
        </w:rPr>
      </w:pPr>
      <w:r>
        <w:rPr>
          <w:rStyle w:val="FootnoteReference"/>
        </w:rPr>
        <w:footnoteRef/>
      </w:r>
      <w:r>
        <w:t xml:space="preserve"> </w:t>
      </w:r>
      <w:r>
        <w:rPr>
          <w:i/>
          <w:iCs/>
          <w:lang w:val="en-US"/>
        </w:rPr>
        <w:t xml:space="preserve">Ibid </w:t>
      </w:r>
      <w:r>
        <w:rPr>
          <w:lang w:val="en-US"/>
        </w:rPr>
        <w:t>at para 10.</w:t>
      </w:r>
    </w:p>
  </w:footnote>
  <w:footnote w:id="13">
    <w:p w14:paraId="29BCF4D3" w14:textId="1E28EFB7" w:rsidR="005354C4" w:rsidRPr="00F41FC9" w:rsidRDefault="005354C4">
      <w:pPr>
        <w:pStyle w:val="FootnoteText"/>
      </w:pPr>
      <w:r>
        <w:rPr>
          <w:rStyle w:val="FootnoteReference"/>
        </w:rPr>
        <w:footnoteRef/>
      </w:r>
      <w:r w:rsidRPr="00F41FC9">
        <w:t xml:space="preserve"> </w:t>
      </w:r>
      <w:r w:rsidR="00464168" w:rsidRPr="00F41FC9">
        <w:t>2015 SCC 1</w:t>
      </w:r>
      <w:r w:rsidR="00512B97" w:rsidRPr="00F41FC9">
        <w:t xml:space="preserve"> [</w:t>
      </w:r>
      <w:r w:rsidR="00512B97" w:rsidRPr="000241BC">
        <w:rPr>
          <w:i/>
          <w:iCs/>
        </w:rPr>
        <w:t>MPAO</w:t>
      </w:r>
      <w:r w:rsidR="00512B97" w:rsidRPr="00F41FC9">
        <w:t>]</w:t>
      </w:r>
      <w:r w:rsidR="004E2DBD" w:rsidRPr="00F41FC9">
        <w:t>.</w:t>
      </w:r>
    </w:p>
  </w:footnote>
  <w:footnote w:id="14">
    <w:p w14:paraId="6CF40F47" w14:textId="7201BE18" w:rsidR="00895312" w:rsidRPr="00F41FC9" w:rsidRDefault="00895312">
      <w:pPr>
        <w:pStyle w:val="FootnoteText"/>
      </w:pPr>
      <w:r>
        <w:rPr>
          <w:rStyle w:val="FootnoteReference"/>
        </w:rPr>
        <w:footnoteRef/>
      </w:r>
      <w:r w:rsidRPr="00F41FC9">
        <w:t xml:space="preserve"> </w:t>
      </w:r>
      <w:r w:rsidRPr="000241BC">
        <w:rPr>
          <w:i/>
          <w:iCs/>
        </w:rPr>
        <w:t xml:space="preserve">Captains and Chiefs Association v Algoma Central Marine, </w:t>
      </w:r>
      <w:r w:rsidR="00284D89" w:rsidRPr="000241BC">
        <w:rPr>
          <w:i/>
          <w:iCs/>
        </w:rPr>
        <w:t>a division of Algoma Central Corporation</w:t>
      </w:r>
      <w:r w:rsidR="00284D89" w:rsidRPr="00F41FC9">
        <w:t xml:space="preserve">, </w:t>
      </w:r>
      <w:r w:rsidRPr="00F41FC9">
        <w:t>2010 CIRB 531</w:t>
      </w:r>
      <w:r w:rsidR="009F61B7" w:rsidRPr="00F41FC9">
        <w:t>.</w:t>
      </w:r>
    </w:p>
  </w:footnote>
  <w:footnote w:id="15">
    <w:p w14:paraId="69BB4068" w14:textId="1B1A3EC8" w:rsidR="001C30B0" w:rsidRPr="001C30B0" w:rsidRDefault="001C30B0">
      <w:pPr>
        <w:pStyle w:val="FootnoteText"/>
      </w:pPr>
      <w:r>
        <w:rPr>
          <w:rStyle w:val="FootnoteReference"/>
        </w:rPr>
        <w:footnoteRef/>
      </w:r>
      <w:r w:rsidRPr="001C30B0">
        <w:t xml:space="preserve"> </w:t>
      </w:r>
      <w:r w:rsidR="0065750B" w:rsidRPr="000241BC">
        <w:rPr>
          <w:i/>
          <w:iCs/>
        </w:rPr>
        <w:t>Canadian Union of Public Employees v</w:t>
      </w:r>
      <w:r w:rsidR="0065750B">
        <w:t xml:space="preserve"> </w:t>
      </w:r>
      <w:r w:rsidRPr="000241BC">
        <w:rPr>
          <w:i/>
          <w:iCs/>
        </w:rPr>
        <w:t>Children’s Aid Society of Ottawa-Carleton</w:t>
      </w:r>
      <w:r w:rsidRPr="001C30B0">
        <w:t>, [2001] OLR</w:t>
      </w:r>
      <w:r>
        <w:t>B</w:t>
      </w:r>
      <w:r w:rsidRPr="001C30B0">
        <w:t xml:space="preserve"> No 1234</w:t>
      </w:r>
      <w:r w:rsidR="00BA3AF1">
        <w:t xml:space="preserve"> (QL)</w:t>
      </w:r>
      <w:r w:rsidR="0018070D">
        <w:t xml:space="preserve"> [</w:t>
      </w:r>
      <w:r w:rsidR="0018070D" w:rsidRPr="004D1AC3">
        <w:rPr>
          <w:i/>
          <w:iCs/>
          <w:szCs w:val="24"/>
        </w:rPr>
        <w:t>Children’s Aid Society of Ottawa-Carleton</w:t>
      </w:r>
      <w:r w:rsidR="0018070D">
        <w:t>]</w:t>
      </w:r>
      <w:r w:rsidR="00DA2E30">
        <w:t>.</w:t>
      </w:r>
    </w:p>
  </w:footnote>
  <w:footnote w:id="16">
    <w:p w14:paraId="638C6470" w14:textId="70965838" w:rsidR="00F04E72" w:rsidRPr="004B19FB" w:rsidRDefault="00F04E72">
      <w:pPr>
        <w:pStyle w:val="FootnoteText"/>
        <w:rPr>
          <w:lang w:val="en-US"/>
        </w:rPr>
      </w:pPr>
      <w:r>
        <w:rPr>
          <w:rStyle w:val="FootnoteReference"/>
        </w:rPr>
        <w:footnoteRef/>
      </w:r>
      <w:r>
        <w:t xml:space="preserve"> </w:t>
      </w:r>
      <w:r w:rsidR="00F44D8A">
        <w:rPr>
          <w:i/>
          <w:iCs/>
          <w:szCs w:val="24"/>
        </w:rPr>
        <w:t xml:space="preserve">Ibid </w:t>
      </w:r>
      <w:r w:rsidR="001C03C8">
        <w:rPr>
          <w:szCs w:val="24"/>
        </w:rPr>
        <w:t xml:space="preserve">at </w:t>
      </w:r>
      <w:r w:rsidR="00954345">
        <w:rPr>
          <w:szCs w:val="24"/>
        </w:rPr>
        <w:t>paras 35</w:t>
      </w:r>
      <w:r w:rsidR="00954345" w:rsidRPr="00366C05">
        <w:rPr>
          <w:szCs w:val="24"/>
        </w:rPr>
        <w:t>—</w:t>
      </w:r>
      <w:r w:rsidR="00954345">
        <w:rPr>
          <w:szCs w:val="24"/>
        </w:rPr>
        <w:t>40</w:t>
      </w:r>
      <w:r w:rsidR="0011420C">
        <w:rPr>
          <w:szCs w:val="24"/>
        </w:rPr>
        <w:t xml:space="preserve">, </w:t>
      </w:r>
      <w:r w:rsidR="00835105">
        <w:rPr>
          <w:szCs w:val="24"/>
        </w:rPr>
        <w:t>V</w:t>
      </w:r>
      <w:r w:rsidR="003F5C63">
        <w:t>ice-Chair Pamela A Chapman</w:t>
      </w:r>
      <w:r w:rsidR="003F5C63">
        <w:rPr>
          <w:szCs w:val="24"/>
        </w:rPr>
        <w:t xml:space="preserve"> </w:t>
      </w:r>
      <w:r w:rsidR="00916723">
        <w:rPr>
          <w:szCs w:val="24"/>
        </w:rPr>
        <w:t xml:space="preserve">[emphasis added] </w:t>
      </w:r>
      <w:r w:rsidR="008500C0">
        <w:t xml:space="preserve">(As edited in </w:t>
      </w:r>
      <w:r w:rsidR="008500C0" w:rsidRPr="00653D9C">
        <w:rPr>
          <w:i/>
          <w:iCs/>
        </w:rPr>
        <w:t>Labour and Employment Law: Cases, Materials and Commentary</w:t>
      </w:r>
      <w:r w:rsidR="008500C0">
        <w:t>, 9th ed (Toronto: Irwin Law, 2018) at 366</w:t>
      </w:r>
      <w:r w:rsidR="008500C0" w:rsidRPr="00366C05">
        <w:rPr>
          <w:szCs w:val="24"/>
        </w:rPr>
        <w:t>—</w:t>
      </w:r>
      <w:r w:rsidR="008500C0">
        <w:rPr>
          <w:szCs w:val="24"/>
        </w:rPr>
        <w:t>67</w:t>
      </w:r>
      <w:r w:rsidR="008500C0">
        <w:t>)</w:t>
      </w:r>
      <w:r w:rsidR="00B67E34">
        <w:t>.</w:t>
      </w:r>
    </w:p>
  </w:footnote>
  <w:footnote w:id="17">
    <w:p w14:paraId="489421D7" w14:textId="4068181E" w:rsidR="006A77BA" w:rsidRDefault="006A77BA">
      <w:pPr>
        <w:pStyle w:val="FootnoteText"/>
      </w:pPr>
      <w:r>
        <w:rPr>
          <w:rStyle w:val="FootnoteReference"/>
        </w:rPr>
        <w:footnoteRef/>
      </w:r>
      <w:r>
        <w:t xml:space="preserve"> On the </w:t>
      </w:r>
      <w:r w:rsidR="008A4D18">
        <w:t xml:space="preserve">statutory </w:t>
      </w:r>
      <w:r>
        <w:t>origins of the exclusion</w:t>
      </w:r>
      <w:r w:rsidR="008A4D18">
        <w:t xml:space="preserve"> </w:t>
      </w:r>
      <w:r w:rsidR="00C13945">
        <w:t>in the USA</w:t>
      </w:r>
      <w:r w:rsidR="0026719D">
        <w:t>,</w:t>
      </w:r>
      <w:r w:rsidR="00C13945">
        <w:t xml:space="preserve"> </w:t>
      </w:r>
      <w:r w:rsidR="008A4D18">
        <w:t xml:space="preserve">see </w:t>
      </w:r>
      <w:r w:rsidR="008E4785">
        <w:t>Tucker, “</w:t>
      </w:r>
      <w:r w:rsidR="00712DF7">
        <w:t>Liberal</w:t>
      </w:r>
      <w:r w:rsidR="008E4785">
        <w:t xml:space="preserve"> Voluntarism”, </w:t>
      </w:r>
      <w:r w:rsidR="008E4785">
        <w:rPr>
          <w:i/>
          <w:iCs/>
        </w:rPr>
        <w:t>supra</w:t>
      </w:r>
      <w:r w:rsidR="008E4785">
        <w:t xml:space="preserve"> note </w:t>
      </w:r>
      <w:r w:rsidR="008E4785">
        <w:fldChar w:fldCharType="begin"/>
      </w:r>
      <w:r w:rsidR="008E4785">
        <w:instrText xml:space="preserve"> NOTEREF _Ref178582536 \h </w:instrText>
      </w:r>
      <w:r w:rsidR="008E4785">
        <w:fldChar w:fldCharType="separate"/>
      </w:r>
      <w:r w:rsidR="0058649B">
        <w:t>1</w:t>
      </w:r>
      <w:r w:rsidR="008E4785">
        <w:fldChar w:fldCharType="end"/>
      </w:r>
      <w:r w:rsidR="008E4785">
        <w:t xml:space="preserve"> </w:t>
      </w:r>
      <w:r w:rsidR="00C13945">
        <w:t xml:space="preserve">at 1 </w:t>
      </w:r>
      <w:r w:rsidR="008E4785">
        <w:t>(</w:t>
      </w:r>
      <w:r w:rsidR="00C13945">
        <w:t>noting that the original Wagner Act did not contain the exclusion</w:t>
      </w:r>
      <w:r w:rsidR="008E4785">
        <w:t>)</w:t>
      </w:r>
      <w:r w:rsidR="009C62E1">
        <w:t>.</w:t>
      </w:r>
      <w:r w:rsidR="008A4D18">
        <w:t xml:space="preserve"> </w:t>
      </w:r>
    </w:p>
  </w:footnote>
  <w:footnote w:id="18">
    <w:p w14:paraId="6DF56782" w14:textId="17D718DC" w:rsidR="009B1331" w:rsidRPr="000241BC" w:rsidRDefault="009B1331">
      <w:pPr>
        <w:pStyle w:val="FootnoteText"/>
        <w:rPr>
          <w:lang w:val="en-US"/>
        </w:rPr>
      </w:pPr>
      <w:r>
        <w:rPr>
          <w:rStyle w:val="FootnoteReference"/>
        </w:rPr>
        <w:footnoteRef/>
      </w:r>
      <w:r>
        <w:t xml:space="preserve"> </w:t>
      </w:r>
      <w:r w:rsidRPr="000241BC">
        <w:rPr>
          <w:i/>
          <w:iCs/>
        </w:rPr>
        <w:t>Canadian Charter of Rights and Freedoms</w:t>
      </w:r>
      <w:r w:rsidRPr="009B1331">
        <w:t xml:space="preserve">, s </w:t>
      </w:r>
      <w:r>
        <w:t>2(d)</w:t>
      </w:r>
      <w:r w:rsidRPr="009B1331">
        <w:t xml:space="preserve">, Part I of the </w:t>
      </w:r>
      <w:r w:rsidRPr="000241BC">
        <w:rPr>
          <w:i/>
          <w:iCs/>
        </w:rPr>
        <w:t>Constitution Act</w:t>
      </w:r>
      <w:r w:rsidRPr="009B1331">
        <w:t xml:space="preserve">, 1982, being Schedule B to the </w:t>
      </w:r>
      <w:r w:rsidRPr="000241BC">
        <w:rPr>
          <w:i/>
          <w:iCs/>
        </w:rPr>
        <w:t xml:space="preserve">Canada Act 1982 </w:t>
      </w:r>
      <w:r w:rsidRPr="009B1331">
        <w:t>(UK), 1982, c 11.</w:t>
      </w:r>
    </w:p>
  </w:footnote>
  <w:footnote w:id="19">
    <w:p w14:paraId="1C6D2160" w14:textId="3249B7FA" w:rsidR="00115942" w:rsidRPr="000241BC" w:rsidRDefault="00115942">
      <w:pPr>
        <w:pStyle w:val="FootnoteText"/>
        <w:rPr>
          <w:lang w:val="en-US"/>
        </w:rPr>
      </w:pPr>
      <w:r>
        <w:rPr>
          <w:rStyle w:val="FootnoteReference"/>
        </w:rPr>
        <w:footnoteRef/>
      </w:r>
      <w:r>
        <w:t xml:space="preserve"> </w:t>
      </w:r>
      <w:r>
        <w:rPr>
          <w:i/>
          <w:iCs/>
          <w:lang w:val="en-US"/>
        </w:rPr>
        <w:t>Ibid</w:t>
      </w:r>
      <w:r>
        <w:rPr>
          <w:lang w:val="en-US"/>
        </w:rPr>
        <w:t xml:space="preserve"> at s 1.</w:t>
      </w:r>
    </w:p>
  </w:footnote>
  <w:footnote w:id="20">
    <w:p w14:paraId="45661EF4" w14:textId="06D1B7A8" w:rsidR="00661C87" w:rsidRPr="000241BC" w:rsidRDefault="00661C87">
      <w:pPr>
        <w:pStyle w:val="FootnoteText"/>
        <w:rPr>
          <w:lang w:val="en-US"/>
        </w:rPr>
      </w:pPr>
      <w:r>
        <w:rPr>
          <w:rStyle w:val="FootnoteReference"/>
        </w:rPr>
        <w:footnoteRef/>
      </w:r>
      <w:r>
        <w:t xml:space="preserve"> </w:t>
      </w:r>
      <w:r w:rsidRPr="00661C87">
        <w:t>2024 SCC 13</w:t>
      </w:r>
      <w:r w:rsidR="00357BA6">
        <w:t xml:space="preserve"> [</w:t>
      </w:r>
      <w:r w:rsidR="009652DB">
        <w:rPr>
          <w:i/>
          <w:iCs/>
        </w:rPr>
        <w:t>C</w:t>
      </w:r>
      <w:r w:rsidR="00357BA6" w:rsidRPr="007A4305">
        <w:rPr>
          <w:i/>
          <w:iCs/>
        </w:rPr>
        <w:t>asinos du Québec</w:t>
      </w:r>
      <w:r w:rsidR="00357BA6">
        <w:t>].</w:t>
      </w:r>
    </w:p>
  </w:footnote>
  <w:footnote w:id="21">
    <w:p w14:paraId="2EFCA7A5" w14:textId="79C4FDAD" w:rsidR="00F8397F" w:rsidRPr="007835A1" w:rsidRDefault="00354B50">
      <w:pPr>
        <w:pStyle w:val="FootnoteText"/>
      </w:pPr>
      <w:r>
        <w:rPr>
          <w:rStyle w:val="FootnoteReference"/>
        </w:rPr>
        <w:footnoteRef/>
      </w:r>
      <w:r w:rsidRPr="00354B50">
        <w:t xml:space="preserve"> And on </w:t>
      </w:r>
      <w:r w:rsidR="00B15DD8">
        <w:t>the</w:t>
      </w:r>
      <w:r w:rsidR="00B15DD8" w:rsidRPr="00354B50">
        <w:t xml:space="preserve"> </w:t>
      </w:r>
      <w:r w:rsidRPr="00354B50">
        <w:t>facts o</w:t>
      </w:r>
      <w:r>
        <w:t xml:space="preserve">f </w:t>
      </w:r>
      <w:r w:rsidR="004C6FE4">
        <w:rPr>
          <w:i/>
          <w:iCs/>
        </w:rPr>
        <w:t>C</w:t>
      </w:r>
      <w:r w:rsidR="004C6FE4" w:rsidRPr="007A4305">
        <w:rPr>
          <w:i/>
          <w:iCs/>
        </w:rPr>
        <w:t>asinos du Québec</w:t>
      </w:r>
      <w:r w:rsidR="00D15BB4">
        <w:t>,</w:t>
      </w:r>
      <w:r w:rsidR="000D6E6C">
        <w:t xml:space="preserve"> </w:t>
      </w:r>
      <w:r w:rsidR="000D6E6C">
        <w:rPr>
          <w:i/>
          <w:iCs/>
        </w:rPr>
        <w:t>ibid</w:t>
      </w:r>
      <w:r w:rsidR="000D6E6C">
        <w:t>,</w:t>
      </w:r>
      <w:r>
        <w:t xml:space="preserve"> some of this actually occurred. </w:t>
      </w:r>
      <w:r w:rsidRPr="00F8397F">
        <w:t xml:space="preserve">On the </w:t>
      </w:r>
      <w:r w:rsidR="002F0FAE">
        <w:t>“</w:t>
      </w:r>
      <w:r w:rsidRPr="00F8397F">
        <w:t>watered-downness</w:t>
      </w:r>
      <w:r w:rsidR="002F0FAE">
        <w:t xml:space="preserve">” </w:t>
      </w:r>
      <w:r w:rsidR="00F8397F" w:rsidRPr="00F8397F">
        <w:t>o</w:t>
      </w:r>
      <w:r w:rsidR="00F8397F">
        <w:t>f what the managers had accomplished</w:t>
      </w:r>
      <w:r w:rsidR="007C35EF">
        <w:t>,</w:t>
      </w:r>
      <w:r w:rsidR="00F8397F">
        <w:t xml:space="preserve"> see </w:t>
      </w:r>
      <w:r w:rsidR="00312F73" w:rsidRPr="0000173E">
        <w:t xml:space="preserve">Hastie &amp; Nicol, </w:t>
      </w:r>
      <w:r w:rsidR="00312F73">
        <w:t>“</w:t>
      </w:r>
      <w:proofErr w:type="spellStart"/>
      <w:r w:rsidR="00312F73" w:rsidRPr="0000173E">
        <w:t>Résurrection</w:t>
      </w:r>
      <w:proofErr w:type="spellEnd"/>
      <w:r w:rsidR="00312F73">
        <w:t xml:space="preserve">”, </w:t>
      </w:r>
      <w:r w:rsidR="00312F73">
        <w:rPr>
          <w:i/>
          <w:iCs/>
        </w:rPr>
        <w:t xml:space="preserve">supra </w:t>
      </w:r>
      <w:r w:rsidR="00312F73">
        <w:t xml:space="preserve">note </w:t>
      </w:r>
      <w:r w:rsidR="00312F73">
        <w:fldChar w:fldCharType="begin"/>
      </w:r>
      <w:r w:rsidR="00312F73">
        <w:instrText xml:space="preserve"> NOTEREF _Ref178341910 \h </w:instrText>
      </w:r>
      <w:r w:rsidR="00312F73">
        <w:fldChar w:fldCharType="separate"/>
      </w:r>
      <w:r w:rsidR="0058649B">
        <w:t>2</w:t>
      </w:r>
      <w:r w:rsidR="00312F73">
        <w:fldChar w:fldCharType="end"/>
      </w:r>
      <w:r w:rsidR="0089700F">
        <w:t>.</w:t>
      </w:r>
      <w:r w:rsidR="00222700">
        <w:t xml:space="preserve"> </w:t>
      </w:r>
      <w:r w:rsidR="00554940" w:rsidRPr="00554940">
        <w:t>See a</w:t>
      </w:r>
      <w:r w:rsidR="00554940">
        <w:t>lso Tucker</w:t>
      </w:r>
      <w:r w:rsidR="007835A1">
        <w:t xml:space="preserve">, </w:t>
      </w:r>
      <w:r w:rsidR="00DD05E1">
        <w:t>“</w:t>
      </w:r>
      <w:r w:rsidR="00665899">
        <w:t>Liberal</w:t>
      </w:r>
      <w:r w:rsidR="00DD05E1">
        <w:t xml:space="preserve"> Voluntarism”, </w:t>
      </w:r>
      <w:r w:rsidR="007835A1">
        <w:rPr>
          <w:i/>
          <w:iCs/>
        </w:rPr>
        <w:t xml:space="preserve">supra </w:t>
      </w:r>
      <w:r w:rsidR="007835A1">
        <w:t xml:space="preserve">note </w:t>
      </w:r>
      <w:r w:rsidR="00E052E6">
        <w:fldChar w:fldCharType="begin"/>
      </w:r>
      <w:r w:rsidR="00E052E6">
        <w:instrText xml:space="preserve"> NOTEREF _Ref178582536 \h </w:instrText>
      </w:r>
      <w:r w:rsidR="00E052E6">
        <w:fldChar w:fldCharType="separate"/>
      </w:r>
      <w:r w:rsidR="0058649B">
        <w:t>1</w:t>
      </w:r>
      <w:r w:rsidR="00E052E6">
        <w:fldChar w:fldCharType="end"/>
      </w:r>
      <w:r w:rsidR="00873FF9">
        <w:t>.</w:t>
      </w:r>
    </w:p>
  </w:footnote>
  <w:footnote w:id="22">
    <w:p w14:paraId="7F99E2FF" w14:textId="30FF494F" w:rsidR="00094A3F" w:rsidRPr="00F41FC9" w:rsidRDefault="00094A3F" w:rsidP="00B70C38">
      <w:pPr>
        <w:pStyle w:val="FootnoteText"/>
      </w:pPr>
      <w:r>
        <w:rPr>
          <w:rStyle w:val="FootnoteReference"/>
        </w:rPr>
        <w:footnoteRef/>
      </w:r>
      <w:r w:rsidRPr="00F41FC9">
        <w:t xml:space="preserve"> </w:t>
      </w:r>
      <w:r w:rsidR="00B70C38" w:rsidRPr="00F41FC9">
        <w:t xml:space="preserve">See Brian Langille, "Why are Canadian Judges Drafting Labour Codes </w:t>
      </w:r>
      <w:r w:rsidR="006D52E0" w:rsidRPr="00F41FC9">
        <w:t>–</w:t>
      </w:r>
      <w:r w:rsidR="00B70C38" w:rsidRPr="00F41FC9">
        <w:t xml:space="preserve"> And</w:t>
      </w:r>
      <w:r w:rsidR="006D52E0" w:rsidRPr="00F41FC9">
        <w:t xml:space="preserve"> </w:t>
      </w:r>
      <w:r w:rsidR="00B70C38" w:rsidRPr="00F41FC9">
        <w:t>Constitutionalizing the Wagner Act Model</w:t>
      </w:r>
      <w:r w:rsidR="008512E9">
        <w:t>?</w:t>
      </w:r>
      <w:r w:rsidR="00B70C38" w:rsidRPr="00F41FC9">
        <w:t xml:space="preserve">" (2009) 15:1 </w:t>
      </w:r>
      <w:r w:rsidR="005942ED" w:rsidRPr="00F41FC9">
        <w:t>CLELJ</w:t>
      </w:r>
      <w:r w:rsidR="00B70C38" w:rsidRPr="00F41FC9">
        <w:t xml:space="preserve"> 101</w:t>
      </w:r>
      <w:r w:rsidR="006D52E0" w:rsidRPr="00F41FC9">
        <w:t xml:space="preserve"> at 108</w:t>
      </w:r>
      <w:r w:rsidR="00631507" w:rsidRPr="00F41FC9">
        <w:t>.</w:t>
      </w:r>
    </w:p>
  </w:footnote>
  <w:footnote w:id="23">
    <w:p w14:paraId="40CEE4A5" w14:textId="47FC17B7" w:rsidR="00705B61" w:rsidRDefault="00705B61">
      <w:pPr>
        <w:pStyle w:val="FootnoteText"/>
      </w:pPr>
      <w:r>
        <w:rPr>
          <w:rStyle w:val="FootnoteReference"/>
        </w:rPr>
        <w:footnoteRef/>
      </w:r>
      <w:r>
        <w:t xml:space="preserve"> </w:t>
      </w:r>
      <w:r w:rsidR="003B7846" w:rsidRPr="003B7846">
        <w:t>Not only indifferent to the details but to the persistent statutory logic of defending the new employee rights and freedoms from undermining and interference by employers.</w:t>
      </w:r>
      <w:r w:rsidR="004D5B99">
        <w:t xml:space="preserve"> This requires vigilance </w:t>
      </w:r>
      <w:r w:rsidR="00D93583">
        <w:t>not</w:t>
      </w:r>
      <w:r w:rsidR="00332C20">
        <w:t xml:space="preserve"> only in express unfair labour </w:t>
      </w:r>
      <w:r w:rsidR="006A388C">
        <w:t xml:space="preserve">practice </w:t>
      </w:r>
      <w:r w:rsidR="00332C20">
        <w:t xml:space="preserve">cases but in </w:t>
      </w:r>
      <w:r w:rsidR="004D5B99">
        <w:t xml:space="preserve">connection with </w:t>
      </w:r>
      <w:r w:rsidR="00332C20">
        <w:t>many other sta</w:t>
      </w:r>
      <w:r w:rsidR="00EF765B">
        <w:t>tutory issue</w:t>
      </w:r>
      <w:r w:rsidR="004D5B99">
        <w:t>s</w:t>
      </w:r>
      <w:r w:rsidR="00EF765B">
        <w:t xml:space="preserve"> </w:t>
      </w:r>
      <w:r w:rsidR="00D93583" w:rsidRPr="00366C05">
        <w:rPr>
          <w:szCs w:val="24"/>
        </w:rPr>
        <w:t>—</w:t>
      </w:r>
      <w:r w:rsidR="00EF765B">
        <w:t xml:space="preserve"> </w:t>
      </w:r>
      <w:r w:rsidR="008512E9">
        <w:t xml:space="preserve">such as </w:t>
      </w:r>
      <w:r w:rsidR="00EF765B">
        <w:t xml:space="preserve">the definition of a </w:t>
      </w:r>
      <w:r w:rsidR="004D5B99">
        <w:t>trade</w:t>
      </w:r>
      <w:r w:rsidR="00EF765B">
        <w:t xml:space="preserve"> union</w:t>
      </w:r>
      <w:r w:rsidR="001F3F31">
        <w:t xml:space="preserve"> a</w:t>
      </w:r>
      <w:r w:rsidR="007F213D">
        <w:t>nd</w:t>
      </w:r>
      <w:r w:rsidR="00EF765B">
        <w:t xml:space="preserve"> the managerial exclusion</w:t>
      </w:r>
      <w:r w:rsidR="0018378E">
        <w:t xml:space="preserve"> itself</w:t>
      </w:r>
      <w:r w:rsidR="004D5B99">
        <w:t>.</w:t>
      </w:r>
      <w:r w:rsidR="008512E9">
        <w:t xml:space="preserve"> The whole </w:t>
      </w:r>
      <w:r w:rsidR="0018378E">
        <w:t xml:space="preserve">statutory </w:t>
      </w:r>
      <w:r w:rsidR="008512E9">
        <w:t xml:space="preserve">certification process, seen as a “system” for testing employee wishes, </w:t>
      </w:r>
      <w:r w:rsidR="006B1221">
        <w:t>can</w:t>
      </w:r>
      <w:r w:rsidR="008512E9">
        <w:t xml:space="preserve"> be seen in the same light.</w:t>
      </w:r>
    </w:p>
  </w:footnote>
  <w:footnote w:id="24">
    <w:p w14:paraId="1C9DDD98" w14:textId="09BB59E9" w:rsidR="007E7547" w:rsidRPr="003E6A6F" w:rsidRDefault="007E7547" w:rsidP="00E95113">
      <w:pPr>
        <w:pStyle w:val="FootnoteText"/>
      </w:pPr>
      <w:r>
        <w:rPr>
          <w:rStyle w:val="FootnoteReference"/>
        </w:rPr>
        <w:footnoteRef/>
      </w:r>
      <w:r w:rsidRPr="003E6A6F">
        <w:t xml:space="preserve"> </w:t>
      </w:r>
      <w:r w:rsidR="00B30B0E">
        <w:t>See Brian Langille &amp; Benjamin Oliphant, "The Legal Structure of Freedom of Association" Queen's LJ 249</w:t>
      </w:r>
      <w:r w:rsidR="00960FF9">
        <w:t xml:space="preserve">; </w:t>
      </w:r>
      <w:bookmarkStart w:id="10" w:name="_Hlk178928370"/>
      <w:r w:rsidR="00F91DA2" w:rsidRPr="00F91DA2">
        <w:t>Langille,</w:t>
      </w:r>
      <w:r w:rsidR="00566B3A">
        <w:t xml:space="preserve"> </w:t>
      </w:r>
      <w:r w:rsidR="00F91DA2" w:rsidRPr="00F91DA2">
        <w:t>“Right-Freedom Distinction”</w:t>
      </w:r>
      <w:bookmarkEnd w:id="10"/>
      <w:r w:rsidR="009C62E1">
        <w:t>,</w:t>
      </w:r>
      <w:r w:rsidR="00566B3A">
        <w:t xml:space="preserve"> </w:t>
      </w:r>
      <w:r w:rsidR="00400D26">
        <w:rPr>
          <w:i/>
          <w:iCs/>
        </w:rPr>
        <w:t xml:space="preserve">supra </w:t>
      </w:r>
      <w:r w:rsidR="00400D26">
        <w:t xml:space="preserve">note </w:t>
      </w:r>
      <w:r w:rsidR="00A2357E">
        <w:fldChar w:fldCharType="begin"/>
      </w:r>
      <w:r w:rsidR="00A2357E">
        <w:instrText xml:space="preserve"> NOTEREF _Ref178936886 \h </w:instrText>
      </w:r>
      <w:r w:rsidR="00A2357E">
        <w:fldChar w:fldCharType="separate"/>
      </w:r>
      <w:r w:rsidR="0058649B">
        <w:t>5</w:t>
      </w:r>
      <w:r w:rsidR="00A2357E">
        <w:fldChar w:fldCharType="end"/>
      </w:r>
      <w:r w:rsidR="00E95113">
        <w:t>; Brian Langille, "The Trilogy Is a Foreign Count</w:t>
      </w:r>
      <w:r w:rsidR="00DA74AB">
        <w:t>r</w:t>
      </w:r>
      <w:r w:rsidR="00E95113">
        <w:t>y, They Do Things Differently There" (2013) 45:2 Ottawa L Rev 285 at 295</w:t>
      </w:r>
      <w:r w:rsidR="00E95113" w:rsidRPr="00366C05">
        <w:rPr>
          <w:szCs w:val="24"/>
        </w:rPr>
        <w:t>—</w:t>
      </w:r>
      <w:r w:rsidR="00E95113">
        <w:rPr>
          <w:szCs w:val="24"/>
        </w:rPr>
        <w:t>97 [Langille, “</w:t>
      </w:r>
      <w:r w:rsidR="00E95113">
        <w:t>Trilogy</w:t>
      </w:r>
      <w:r w:rsidR="00E95113">
        <w:rPr>
          <w:szCs w:val="24"/>
        </w:rPr>
        <w:t>”].</w:t>
      </w:r>
    </w:p>
  </w:footnote>
  <w:footnote w:id="25">
    <w:p w14:paraId="6ADBEDA4" w14:textId="02BC0017" w:rsidR="00DA0E3F" w:rsidRPr="0018378E" w:rsidRDefault="00DA0E3F" w:rsidP="00DA0E3F">
      <w:pPr>
        <w:pStyle w:val="FootnoteText"/>
        <w:rPr>
          <w:lang w:val="fr-FR"/>
        </w:rPr>
      </w:pPr>
      <w:r>
        <w:rPr>
          <w:rStyle w:val="FootnoteReference"/>
        </w:rPr>
        <w:footnoteRef/>
      </w:r>
      <w:r w:rsidRPr="0018378E">
        <w:rPr>
          <w:lang w:val="fr-FR"/>
        </w:rPr>
        <w:t xml:space="preserve"> </w:t>
      </w:r>
      <w:r w:rsidRPr="0018378E">
        <w:rPr>
          <w:i/>
          <w:iCs/>
          <w:lang w:val="fr-FR"/>
        </w:rPr>
        <w:t>Casinos du Québec</w:t>
      </w:r>
      <w:r w:rsidRPr="0018378E">
        <w:rPr>
          <w:lang w:val="fr-FR"/>
        </w:rPr>
        <w:t xml:space="preserve">, </w:t>
      </w:r>
      <w:r w:rsidRPr="0018378E">
        <w:rPr>
          <w:i/>
          <w:iCs/>
          <w:lang w:val="fr-FR"/>
        </w:rPr>
        <w:t xml:space="preserve">supra </w:t>
      </w:r>
      <w:r w:rsidRPr="0018378E">
        <w:rPr>
          <w:lang w:val="fr-FR"/>
        </w:rPr>
        <w:t xml:space="preserve">note </w:t>
      </w:r>
      <w:r>
        <w:fldChar w:fldCharType="begin"/>
      </w:r>
      <w:r w:rsidRPr="0018378E">
        <w:rPr>
          <w:lang w:val="fr-FR"/>
        </w:rPr>
        <w:instrText xml:space="preserve"> NOTEREF _Ref178265253 \h </w:instrText>
      </w:r>
      <w:r>
        <w:fldChar w:fldCharType="separate"/>
      </w:r>
      <w:r w:rsidR="0058649B">
        <w:rPr>
          <w:lang w:val="fr-FR"/>
        </w:rPr>
        <w:t>20</w:t>
      </w:r>
      <w:r>
        <w:fldChar w:fldCharType="end"/>
      </w:r>
      <w:r w:rsidRPr="0018378E">
        <w:rPr>
          <w:lang w:val="fr-FR"/>
        </w:rPr>
        <w:t>.</w:t>
      </w:r>
    </w:p>
  </w:footnote>
  <w:footnote w:id="26">
    <w:p w14:paraId="5009E037" w14:textId="7B2A27C0" w:rsidR="004716C8" w:rsidRPr="0025110B" w:rsidRDefault="004716C8">
      <w:pPr>
        <w:pStyle w:val="FootnoteText"/>
      </w:pPr>
      <w:r>
        <w:rPr>
          <w:rStyle w:val="FootnoteReference"/>
        </w:rPr>
        <w:footnoteRef/>
      </w:r>
      <w:r w:rsidRPr="0025110B">
        <w:t xml:space="preserve"> </w:t>
      </w:r>
      <w:r w:rsidR="00FB2A7D" w:rsidRPr="0025110B">
        <w:t>2011 SCC 20</w:t>
      </w:r>
      <w:r w:rsidR="00770DDC" w:rsidRPr="0025110B">
        <w:t xml:space="preserve"> [</w:t>
      </w:r>
      <w:r w:rsidR="00770DDC" w:rsidRPr="0025110B">
        <w:rPr>
          <w:i/>
          <w:iCs/>
          <w:szCs w:val="24"/>
        </w:rPr>
        <w:t>Fraser</w:t>
      </w:r>
      <w:r w:rsidR="00770DDC" w:rsidRPr="0025110B">
        <w:t>]</w:t>
      </w:r>
      <w:r w:rsidR="00FB2A7D" w:rsidRPr="0025110B">
        <w:t xml:space="preserve">. </w:t>
      </w:r>
    </w:p>
  </w:footnote>
  <w:footnote w:id="27">
    <w:p w14:paraId="009977CA" w14:textId="1850F290" w:rsidR="00A20899" w:rsidRPr="00BD5055" w:rsidRDefault="00C521CE" w:rsidP="00C7425E">
      <w:pPr>
        <w:pStyle w:val="FootnoteText"/>
      </w:pPr>
      <w:r>
        <w:rPr>
          <w:rStyle w:val="FootnoteReference"/>
        </w:rPr>
        <w:footnoteRef/>
      </w:r>
      <w:r>
        <w:t xml:space="preserve"> </w:t>
      </w:r>
      <w:r w:rsidR="007205EA">
        <w:t xml:space="preserve">See </w:t>
      </w:r>
      <w:r w:rsidR="00D81A28" w:rsidRPr="0026580A">
        <w:rPr>
          <w:i/>
          <w:iCs/>
        </w:rPr>
        <w:t xml:space="preserve">Delisle v Canada (Deputy </w:t>
      </w:r>
      <w:r w:rsidR="0026580A">
        <w:rPr>
          <w:i/>
          <w:iCs/>
        </w:rPr>
        <w:t>AG</w:t>
      </w:r>
      <w:r w:rsidR="00D81A28" w:rsidRPr="0026580A">
        <w:rPr>
          <w:i/>
          <w:iCs/>
        </w:rPr>
        <w:t>)</w:t>
      </w:r>
      <w:r w:rsidR="00D81A28" w:rsidRPr="00D81A28">
        <w:t xml:space="preserve">, 1999 CanLII 649 </w:t>
      </w:r>
      <w:r w:rsidR="001C0101">
        <w:t>at para 33</w:t>
      </w:r>
      <w:r w:rsidR="00D81A28" w:rsidRPr="00D81A28">
        <w:t>(SCC)</w:t>
      </w:r>
      <w:r w:rsidR="00D81A28">
        <w:t xml:space="preserve">; </w:t>
      </w:r>
      <w:r w:rsidR="007205EA" w:rsidRPr="00B82E18">
        <w:rPr>
          <w:i/>
          <w:iCs/>
        </w:rPr>
        <w:t>Dunmore v Ontario (</w:t>
      </w:r>
      <w:r w:rsidR="009B31B0" w:rsidRPr="00B82E18">
        <w:rPr>
          <w:i/>
          <w:iCs/>
        </w:rPr>
        <w:t>AG</w:t>
      </w:r>
      <w:r w:rsidR="007205EA" w:rsidRPr="00B82E18">
        <w:rPr>
          <w:i/>
          <w:iCs/>
        </w:rPr>
        <w:t>)</w:t>
      </w:r>
      <w:r w:rsidR="007205EA" w:rsidRPr="007205EA">
        <w:t xml:space="preserve">, 2001 SCC 94 </w:t>
      </w:r>
      <w:r w:rsidR="00220949">
        <w:t xml:space="preserve">at </w:t>
      </w:r>
      <w:r w:rsidR="00D22D31">
        <w:t xml:space="preserve">para </w:t>
      </w:r>
      <w:r w:rsidR="00D81A28">
        <w:t xml:space="preserve">14 </w:t>
      </w:r>
      <w:r w:rsidR="00EB04B6" w:rsidRPr="00F41FC9">
        <w:t>[</w:t>
      </w:r>
      <w:r w:rsidR="00EB04B6" w:rsidRPr="00F41FC9">
        <w:rPr>
          <w:i/>
          <w:iCs/>
        </w:rPr>
        <w:t>Dunmore</w:t>
      </w:r>
      <w:r w:rsidR="00EB04B6" w:rsidRPr="00F41FC9">
        <w:t>]</w:t>
      </w:r>
      <w:r w:rsidR="00EB04B6">
        <w:t xml:space="preserve"> </w:t>
      </w:r>
      <w:r w:rsidR="008914FF">
        <w:t>(the majority writes, “</w:t>
      </w:r>
      <w:r w:rsidR="003C3354" w:rsidRPr="003C3354">
        <w:t xml:space="preserve">In </w:t>
      </w:r>
      <w:r w:rsidR="003C3354">
        <w:t>[</w:t>
      </w:r>
      <w:r w:rsidR="003C3354" w:rsidRPr="0026580A">
        <w:rPr>
          <w:i/>
          <w:iCs/>
        </w:rPr>
        <w:t>Delisle</w:t>
      </w:r>
      <w:r w:rsidR="003C3354">
        <w:t>]</w:t>
      </w:r>
      <w:r w:rsidR="003C3354" w:rsidRPr="003C3354">
        <w:t>, this Court clarified that s. 2(d) does not guarantee access to a particular labour relations regime where the claimants are able to exercise their s. 2(d) rights independently</w:t>
      </w:r>
      <w:r w:rsidR="00D81A28">
        <w:t>”)</w:t>
      </w:r>
      <w:r w:rsidR="00924120">
        <w:t>;</w:t>
      </w:r>
      <w:r w:rsidR="008B64EE">
        <w:t xml:space="preserve"> </w:t>
      </w:r>
      <w:r w:rsidR="00B0049C" w:rsidRPr="00B0049C">
        <w:rPr>
          <w:i/>
          <w:iCs/>
        </w:rPr>
        <w:t>Health Services and Support -- Facilities Subsector Bargaining Assn v British Columbia</w:t>
      </w:r>
      <w:r w:rsidR="00B0049C" w:rsidRPr="00B0049C">
        <w:t>, 2007 SCC 27</w:t>
      </w:r>
      <w:r w:rsidR="00B0049C">
        <w:t xml:space="preserve"> at </w:t>
      </w:r>
      <w:r w:rsidR="00F30E1D">
        <w:t>para</w:t>
      </w:r>
      <w:r w:rsidR="000B54A8">
        <w:t>s</w:t>
      </w:r>
      <w:r w:rsidR="00F30E1D">
        <w:t xml:space="preserve"> 19</w:t>
      </w:r>
      <w:r w:rsidR="000B54A8">
        <w:t>, 91</w:t>
      </w:r>
      <w:r w:rsidR="002C42C4">
        <w:t xml:space="preserve"> [BC Health]</w:t>
      </w:r>
      <w:r w:rsidR="00C91ABE">
        <w:t xml:space="preserve">; </w:t>
      </w:r>
      <w:r w:rsidR="00E95F77" w:rsidRPr="005F1A72">
        <w:rPr>
          <w:i/>
          <w:iCs/>
        </w:rPr>
        <w:t>MPAO</w:t>
      </w:r>
      <w:r w:rsidR="00E95F77">
        <w:t xml:space="preserve">, </w:t>
      </w:r>
      <w:r w:rsidR="00E95F77">
        <w:rPr>
          <w:i/>
          <w:iCs/>
        </w:rPr>
        <w:t xml:space="preserve">supra </w:t>
      </w:r>
      <w:r w:rsidR="00E95F77">
        <w:t xml:space="preserve">note </w:t>
      </w:r>
      <w:r w:rsidR="00E95F77">
        <w:fldChar w:fldCharType="begin"/>
      </w:r>
      <w:r w:rsidR="00E95F77">
        <w:instrText xml:space="preserve"> NOTEREF _Ref178273613 \h </w:instrText>
      </w:r>
      <w:r w:rsidR="00E95F77">
        <w:fldChar w:fldCharType="separate"/>
      </w:r>
      <w:r w:rsidR="0058649B">
        <w:t>13</w:t>
      </w:r>
      <w:r w:rsidR="00E95F77">
        <w:fldChar w:fldCharType="end"/>
      </w:r>
      <w:r w:rsidR="00E95F77">
        <w:t xml:space="preserve"> </w:t>
      </w:r>
      <w:r w:rsidR="005F499E">
        <w:t>at paras 67, 93</w:t>
      </w:r>
      <w:r w:rsidR="00951A25">
        <w:t xml:space="preserve">; </w:t>
      </w:r>
      <w:r w:rsidR="00C267A9" w:rsidRPr="00E23679">
        <w:rPr>
          <w:i/>
          <w:iCs/>
        </w:rPr>
        <w:t>Fraser</w:t>
      </w:r>
      <w:r w:rsidR="00C267A9" w:rsidRPr="008B64EE">
        <w:t xml:space="preserve">, </w:t>
      </w:r>
      <w:r w:rsidR="00BC0769">
        <w:rPr>
          <w:i/>
          <w:iCs/>
        </w:rPr>
        <w:t xml:space="preserve">supra </w:t>
      </w:r>
      <w:r w:rsidR="00BC0769">
        <w:t xml:space="preserve">note </w:t>
      </w:r>
      <w:r w:rsidR="00790D0B">
        <w:fldChar w:fldCharType="begin"/>
      </w:r>
      <w:r w:rsidR="00790D0B">
        <w:instrText xml:space="preserve"> NOTEREF _Ref178265437 \h </w:instrText>
      </w:r>
      <w:r w:rsidR="00790D0B">
        <w:fldChar w:fldCharType="separate"/>
      </w:r>
      <w:r w:rsidR="0058649B">
        <w:t>28</w:t>
      </w:r>
      <w:r w:rsidR="00790D0B">
        <w:fldChar w:fldCharType="end"/>
      </w:r>
      <w:r w:rsidR="00790D0B">
        <w:t xml:space="preserve"> at </w:t>
      </w:r>
      <w:r w:rsidR="00C267A9">
        <w:t>paras 41</w:t>
      </w:r>
      <w:r w:rsidR="00C267A9" w:rsidRPr="00366C05">
        <w:rPr>
          <w:szCs w:val="24"/>
        </w:rPr>
        <w:t>—</w:t>
      </w:r>
      <w:r w:rsidR="00C267A9">
        <w:rPr>
          <w:szCs w:val="24"/>
        </w:rPr>
        <w:t>42, 45;</w:t>
      </w:r>
      <w:r w:rsidR="00C267A9">
        <w:t xml:space="preserve"> </w:t>
      </w:r>
      <w:r w:rsidR="001A3B1F" w:rsidRPr="007C243E">
        <w:rPr>
          <w:i/>
          <w:iCs/>
        </w:rPr>
        <w:t>Casinos du Québec</w:t>
      </w:r>
      <w:r w:rsidR="001A3B1F" w:rsidRPr="007C243E">
        <w:t>,</w:t>
      </w:r>
      <w:r w:rsidR="001A3B1F" w:rsidRPr="007C243E">
        <w:rPr>
          <w:i/>
          <w:iCs/>
        </w:rPr>
        <w:t xml:space="preserve"> supra </w:t>
      </w:r>
      <w:r w:rsidR="001A3B1F" w:rsidRPr="007C243E">
        <w:t xml:space="preserve">note </w:t>
      </w:r>
      <w:r w:rsidR="001A3B1F">
        <w:rPr>
          <w:lang w:val="en-US"/>
        </w:rPr>
        <w:fldChar w:fldCharType="begin"/>
      </w:r>
      <w:r w:rsidR="001A3B1F" w:rsidRPr="007C243E">
        <w:instrText xml:space="preserve"> NOTEREF _Ref178265253 \h </w:instrText>
      </w:r>
      <w:r w:rsidR="001A3B1F">
        <w:rPr>
          <w:lang w:val="en-US"/>
        </w:rPr>
      </w:r>
      <w:r w:rsidR="001A3B1F">
        <w:rPr>
          <w:lang w:val="en-US"/>
        </w:rPr>
        <w:fldChar w:fldCharType="separate"/>
      </w:r>
      <w:r w:rsidR="0058649B">
        <w:t>20</w:t>
      </w:r>
      <w:r w:rsidR="001A3B1F">
        <w:rPr>
          <w:lang w:val="en-US"/>
        </w:rPr>
        <w:fldChar w:fldCharType="end"/>
      </w:r>
      <w:r w:rsidR="001A3B1F" w:rsidRPr="007C243E">
        <w:t xml:space="preserve"> at paras 19, 24, 26, 55</w:t>
      </w:r>
      <w:r w:rsidR="00BF2D2D">
        <w:t>.</w:t>
      </w:r>
      <w:r w:rsidR="006E4846">
        <w:t xml:space="preserve"> </w:t>
      </w:r>
      <w:r w:rsidR="00A20899">
        <w:t xml:space="preserve">See also </w:t>
      </w:r>
      <w:r w:rsidR="00A20899" w:rsidRPr="007C243E">
        <w:rPr>
          <w:i/>
          <w:iCs/>
        </w:rPr>
        <w:t>Saskatchewan Federation of Labour v Saskatchewan</w:t>
      </w:r>
      <w:r w:rsidR="00A20899" w:rsidRPr="00950EB7">
        <w:t>, 2015 SCC 4</w:t>
      </w:r>
      <w:r w:rsidR="00A20899">
        <w:t xml:space="preserve"> at para 57</w:t>
      </w:r>
      <w:r w:rsidR="00E22562">
        <w:t xml:space="preserve"> [</w:t>
      </w:r>
      <w:proofErr w:type="spellStart"/>
      <w:r w:rsidR="00E22562">
        <w:rPr>
          <w:i/>
          <w:iCs/>
        </w:rPr>
        <w:t>SaskFed</w:t>
      </w:r>
      <w:proofErr w:type="spellEnd"/>
      <w:r w:rsidR="00E22562">
        <w:t>]</w:t>
      </w:r>
    </w:p>
  </w:footnote>
  <w:footnote w:id="28">
    <w:p w14:paraId="5D774A96" w14:textId="774C84F1" w:rsidR="00331666" w:rsidRPr="00BD097D" w:rsidRDefault="00331666">
      <w:pPr>
        <w:pStyle w:val="FootnoteText"/>
      </w:pPr>
      <w:r>
        <w:rPr>
          <w:rStyle w:val="FootnoteReference"/>
        </w:rPr>
        <w:footnoteRef/>
      </w:r>
      <w:r w:rsidRPr="00BD097D">
        <w:t xml:space="preserve"> </w:t>
      </w:r>
      <w:r w:rsidRPr="00BD097D">
        <w:rPr>
          <w:i/>
          <w:iCs/>
          <w:szCs w:val="24"/>
        </w:rPr>
        <w:t>Fraser</w:t>
      </w:r>
      <w:r w:rsidRPr="00BD097D">
        <w:rPr>
          <w:szCs w:val="24"/>
        </w:rPr>
        <w:t xml:space="preserve">, </w:t>
      </w:r>
      <w:r w:rsidRPr="00BD097D">
        <w:rPr>
          <w:i/>
          <w:iCs/>
          <w:szCs w:val="24"/>
        </w:rPr>
        <w:t xml:space="preserve">supra </w:t>
      </w:r>
      <w:r w:rsidRPr="00BD097D">
        <w:rPr>
          <w:szCs w:val="24"/>
        </w:rPr>
        <w:t xml:space="preserve">note </w:t>
      </w:r>
      <w:r w:rsidR="002A6047">
        <w:rPr>
          <w:szCs w:val="24"/>
        </w:rPr>
        <w:fldChar w:fldCharType="begin"/>
      </w:r>
      <w:r w:rsidR="002A6047" w:rsidRPr="00BD097D">
        <w:rPr>
          <w:szCs w:val="24"/>
        </w:rPr>
        <w:instrText xml:space="preserve"> NOTEREF _Ref178265437 \h </w:instrText>
      </w:r>
      <w:r w:rsidR="002A6047">
        <w:rPr>
          <w:szCs w:val="24"/>
        </w:rPr>
      </w:r>
      <w:r w:rsidR="002A6047">
        <w:rPr>
          <w:szCs w:val="24"/>
        </w:rPr>
        <w:fldChar w:fldCharType="separate"/>
      </w:r>
      <w:r w:rsidR="0058649B">
        <w:rPr>
          <w:szCs w:val="24"/>
        </w:rPr>
        <w:t>28</w:t>
      </w:r>
      <w:r w:rsidR="002A6047">
        <w:rPr>
          <w:szCs w:val="24"/>
        </w:rPr>
        <w:fldChar w:fldCharType="end"/>
      </w:r>
      <w:r w:rsidR="002A6047" w:rsidRPr="00BD097D">
        <w:rPr>
          <w:szCs w:val="24"/>
        </w:rPr>
        <w:t>.</w:t>
      </w:r>
    </w:p>
  </w:footnote>
  <w:footnote w:id="29">
    <w:p w14:paraId="179DCB23" w14:textId="674A93BA" w:rsidR="007B5E7B" w:rsidRPr="007B5E7B" w:rsidRDefault="007B5E7B">
      <w:pPr>
        <w:pStyle w:val="FootnoteText"/>
        <w:rPr>
          <w:lang w:val="en-US"/>
        </w:rPr>
      </w:pPr>
      <w:r>
        <w:rPr>
          <w:rStyle w:val="FootnoteReference"/>
        </w:rPr>
        <w:footnoteRef/>
      </w:r>
      <w:r>
        <w:t xml:space="preserve"> </w:t>
      </w:r>
      <w:r w:rsidR="00F07717">
        <w:rPr>
          <w:i/>
          <w:iCs/>
          <w:szCs w:val="24"/>
        </w:rPr>
        <w:t>BC Health</w:t>
      </w:r>
      <w:r w:rsidR="002C42C4">
        <w:t xml:space="preserve">, </w:t>
      </w:r>
      <w:r w:rsidR="002C42C4">
        <w:rPr>
          <w:i/>
          <w:iCs/>
        </w:rPr>
        <w:t xml:space="preserve">supra </w:t>
      </w:r>
      <w:r w:rsidR="002C42C4">
        <w:t xml:space="preserve">note </w:t>
      </w:r>
      <w:r w:rsidR="00DE7D12">
        <w:fldChar w:fldCharType="begin"/>
      </w:r>
      <w:r w:rsidR="00DE7D12">
        <w:instrText xml:space="preserve"> NOTEREF _Ref178518964 \h </w:instrText>
      </w:r>
      <w:r w:rsidR="00DE7D12">
        <w:fldChar w:fldCharType="separate"/>
      </w:r>
      <w:r w:rsidR="0058649B">
        <w:t>30</w:t>
      </w:r>
      <w:r w:rsidR="00DE7D12">
        <w:fldChar w:fldCharType="end"/>
      </w:r>
      <w:r>
        <w:t>.</w:t>
      </w:r>
    </w:p>
  </w:footnote>
  <w:footnote w:id="30">
    <w:p w14:paraId="580229DC" w14:textId="63FB619D" w:rsidR="003E4E96" w:rsidRPr="0018378E" w:rsidRDefault="003E4E96">
      <w:pPr>
        <w:pStyle w:val="FootnoteText"/>
      </w:pPr>
      <w:r>
        <w:rPr>
          <w:rStyle w:val="FootnoteReference"/>
        </w:rPr>
        <w:footnoteRef/>
      </w:r>
      <w:r w:rsidRPr="0018378E">
        <w:t xml:space="preserve"> </w:t>
      </w:r>
      <w:r w:rsidR="00357854" w:rsidRPr="004D1AC3">
        <w:rPr>
          <w:szCs w:val="24"/>
        </w:rPr>
        <w:t xml:space="preserve">Hastie </w:t>
      </w:r>
      <w:r w:rsidR="00357854">
        <w:rPr>
          <w:szCs w:val="24"/>
        </w:rPr>
        <w:t>&amp;</w:t>
      </w:r>
      <w:r w:rsidR="00357854" w:rsidRPr="004D1AC3">
        <w:rPr>
          <w:szCs w:val="24"/>
        </w:rPr>
        <w:t xml:space="preserve"> </w:t>
      </w:r>
      <w:r w:rsidR="00357854">
        <w:rPr>
          <w:szCs w:val="24"/>
        </w:rPr>
        <w:t>Nicol,</w:t>
      </w:r>
      <w:r w:rsidR="00357854" w:rsidRPr="0018378E">
        <w:rPr>
          <w:i/>
          <w:iCs/>
        </w:rPr>
        <w:t xml:space="preserve"> s</w:t>
      </w:r>
      <w:r w:rsidRPr="0018378E">
        <w:rPr>
          <w:i/>
          <w:iCs/>
        </w:rPr>
        <w:t>upra</w:t>
      </w:r>
      <w:r w:rsidRPr="0018378E">
        <w:t xml:space="preserve"> </w:t>
      </w:r>
      <w:r w:rsidR="000D6E99" w:rsidRPr="0018378E">
        <w:t>note</w:t>
      </w:r>
      <w:r w:rsidR="00312F73">
        <w:t xml:space="preserve"> </w:t>
      </w:r>
      <w:r w:rsidR="00312F73">
        <w:fldChar w:fldCharType="begin"/>
      </w:r>
      <w:r w:rsidR="00312F73">
        <w:instrText xml:space="preserve"> NOTEREF _Ref178341910 \h </w:instrText>
      </w:r>
      <w:r w:rsidR="00312F73">
        <w:fldChar w:fldCharType="separate"/>
      </w:r>
      <w:r w:rsidR="0058649B">
        <w:t>2</w:t>
      </w:r>
      <w:r w:rsidR="00312F73">
        <w:fldChar w:fldCharType="end"/>
      </w:r>
      <w:r w:rsidR="000D6E99" w:rsidRPr="0018378E">
        <w:t>.</w:t>
      </w:r>
    </w:p>
  </w:footnote>
  <w:footnote w:id="31">
    <w:p w14:paraId="1249CA0B" w14:textId="3D9FAD79" w:rsidR="004A3C2A" w:rsidRPr="0018378E" w:rsidRDefault="004A3C2A">
      <w:pPr>
        <w:pStyle w:val="FootnoteText"/>
      </w:pPr>
      <w:r>
        <w:rPr>
          <w:rStyle w:val="FootnoteReference"/>
        </w:rPr>
        <w:footnoteRef/>
      </w:r>
      <w:r w:rsidRPr="0018378E">
        <w:t xml:space="preserve"> </w:t>
      </w:r>
      <w:r w:rsidR="009064A6">
        <w:t>Tucker, “</w:t>
      </w:r>
      <w:r w:rsidR="0016417E">
        <w:t>Liberal</w:t>
      </w:r>
      <w:r w:rsidR="009064A6">
        <w:t xml:space="preserve"> Voluntarism”, </w:t>
      </w:r>
      <w:r w:rsidR="009064A6">
        <w:rPr>
          <w:i/>
          <w:iCs/>
        </w:rPr>
        <w:t xml:space="preserve">supra </w:t>
      </w:r>
      <w:r w:rsidR="009064A6">
        <w:t xml:space="preserve">note </w:t>
      </w:r>
      <w:r w:rsidR="009064A6">
        <w:fldChar w:fldCharType="begin"/>
      </w:r>
      <w:r w:rsidR="009064A6">
        <w:instrText xml:space="preserve"> NOTEREF _Ref178582536 \h </w:instrText>
      </w:r>
      <w:r w:rsidR="009064A6">
        <w:fldChar w:fldCharType="separate"/>
      </w:r>
      <w:r w:rsidR="0058649B">
        <w:t>1</w:t>
      </w:r>
      <w:r w:rsidR="009064A6">
        <w:fldChar w:fldCharType="end"/>
      </w:r>
      <w:r w:rsidR="009064A6">
        <w:t>.</w:t>
      </w:r>
    </w:p>
  </w:footnote>
  <w:footnote w:id="32">
    <w:p w14:paraId="11114561" w14:textId="0187E2FB" w:rsidR="003E6A6F" w:rsidRDefault="003E6A6F">
      <w:pPr>
        <w:pStyle w:val="FootnoteText"/>
      </w:pPr>
      <w:r>
        <w:rPr>
          <w:rStyle w:val="FootnoteReference"/>
        </w:rPr>
        <w:footnoteRef/>
      </w:r>
      <w:r>
        <w:t xml:space="preserve"> </w:t>
      </w:r>
      <w:r w:rsidR="005E61F4">
        <w:t>A question I first asked 15 years ago</w:t>
      </w:r>
      <w:r w:rsidR="003C6904">
        <w:t>,</w:t>
      </w:r>
      <w:r w:rsidR="005E61F4">
        <w:t xml:space="preserve"> see </w:t>
      </w:r>
      <w:r w:rsidR="00383D54">
        <w:rPr>
          <w:szCs w:val="24"/>
        </w:rPr>
        <w:t>Langille, “</w:t>
      </w:r>
      <w:r w:rsidR="00383D54">
        <w:t>Freedom of Association Mess</w:t>
      </w:r>
      <w:r w:rsidR="00383D54">
        <w:rPr>
          <w:szCs w:val="24"/>
        </w:rPr>
        <w:t xml:space="preserve">”, </w:t>
      </w:r>
      <w:r w:rsidR="005E61F4" w:rsidRPr="00383D54">
        <w:rPr>
          <w:i/>
          <w:iCs/>
        </w:rPr>
        <w:t>supra</w:t>
      </w:r>
      <w:r w:rsidR="005E61F4">
        <w:t xml:space="preserve"> </w:t>
      </w:r>
      <w:r w:rsidR="00383D54">
        <w:t>note</w:t>
      </w:r>
      <w:r w:rsidR="005E61F4">
        <w:t xml:space="preserve"> </w:t>
      </w:r>
      <w:r w:rsidR="00383D54">
        <w:fldChar w:fldCharType="begin"/>
      </w:r>
      <w:r w:rsidR="00383D54">
        <w:instrText xml:space="preserve"> NOTEREF _Ref178343407 \h </w:instrText>
      </w:r>
      <w:r w:rsidR="00383D54">
        <w:fldChar w:fldCharType="separate"/>
      </w:r>
      <w:r w:rsidR="0058649B">
        <w:t>3</w:t>
      </w:r>
      <w:r w:rsidR="00383D54">
        <w:fldChar w:fldCharType="end"/>
      </w:r>
      <w:r w:rsidR="00CC6FE7">
        <w:t>.</w:t>
      </w:r>
    </w:p>
  </w:footnote>
  <w:footnote w:id="33">
    <w:p w14:paraId="19BBF3D6" w14:textId="30966F1E" w:rsidR="00032443" w:rsidRPr="0018378E" w:rsidRDefault="00032443" w:rsidP="00032443">
      <w:pPr>
        <w:pStyle w:val="FootnoteText"/>
      </w:pPr>
      <w:r>
        <w:rPr>
          <w:rStyle w:val="FootnoteReference"/>
        </w:rPr>
        <w:footnoteRef/>
      </w:r>
      <w:r w:rsidRPr="0018378E">
        <w:t xml:space="preserve"> </w:t>
      </w:r>
      <w:r w:rsidR="007C2E8B" w:rsidRPr="0018378E">
        <w:rPr>
          <w:i/>
          <w:iCs/>
        </w:rPr>
        <w:t xml:space="preserve">Ibid </w:t>
      </w:r>
      <w:r w:rsidRPr="0018378E">
        <w:t>at para 51.</w:t>
      </w:r>
    </w:p>
  </w:footnote>
  <w:footnote w:id="34">
    <w:p w14:paraId="5A86210C" w14:textId="71EF27F5" w:rsidR="00032443" w:rsidRPr="002C538F" w:rsidRDefault="00032443" w:rsidP="00032443">
      <w:pPr>
        <w:pStyle w:val="FootnoteText"/>
      </w:pPr>
      <w:r>
        <w:rPr>
          <w:rStyle w:val="FootnoteReference"/>
        </w:rPr>
        <w:footnoteRef/>
      </w:r>
      <w:r w:rsidRPr="0016792E">
        <w:t xml:space="preserve"> </w:t>
      </w:r>
      <w:r>
        <w:rPr>
          <w:i/>
          <w:iCs/>
        </w:rPr>
        <w:t>Ibid</w:t>
      </w:r>
      <w:r w:rsidRPr="0016792E">
        <w:t xml:space="preserve"> seems to sugge</w:t>
      </w:r>
      <w:r>
        <w:t>st</w:t>
      </w:r>
      <w:r w:rsidRPr="0016792E">
        <w:t xml:space="preserve"> </w:t>
      </w:r>
      <w:r>
        <w:t xml:space="preserve">or hint that the SCC understands the exclusion to be merely concerned with keeping managers out of the units of and unions chosen by those they manage. </w:t>
      </w:r>
      <w:r w:rsidRPr="00AD28A0">
        <w:t>It certainly does that. But the exclusion is far broader than that</w:t>
      </w:r>
      <w:r w:rsidR="002113A1">
        <w:t>. To</w:t>
      </w:r>
      <w:r>
        <w:t xml:space="preserve"> </w:t>
      </w:r>
      <w:r w:rsidR="002113A1">
        <w:t>r</w:t>
      </w:r>
      <w:r>
        <w:t xml:space="preserve">epeat: </w:t>
      </w:r>
      <w:r w:rsidRPr="00ED4389">
        <w:rPr>
          <w:b/>
          <w:bCs/>
        </w:rPr>
        <w:t xml:space="preserve">Managers are excluded from the Act </w:t>
      </w:r>
      <w:r w:rsidRPr="00503168">
        <w:rPr>
          <w:b/>
          <w:bCs/>
        </w:rPr>
        <w:t>—</w:t>
      </w:r>
      <w:r w:rsidRPr="00ED4389">
        <w:rPr>
          <w:b/>
          <w:bCs/>
        </w:rPr>
        <w:t xml:space="preserve"> not from </w:t>
      </w:r>
      <w:r>
        <w:rPr>
          <w:b/>
          <w:bCs/>
        </w:rPr>
        <w:t xml:space="preserve">the </w:t>
      </w:r>
      <w:r w:rsidRPr="00ED4389">
        <w:rPr>
          <w:b/>
          <w:bCs/>
        </w:rPr>
        <w:t>bargaining units</w:t>
      </w:r>
      <w:r>
        <w:rPr>
          <w:b/>
          <w:bCs/>
        </w:rPr>
        <w:t>, or unions,</w:t>
      </w:r>
      <w:r w:rsidRPr="00ED4389">
        <w:rPr>
          <w:b/>
          <w:bCs/>
        </w:rPr>
        <w:t xml:space="preserve"> of those they manage.</w:t>
      </w:r>
      <w:r>
        <w:t xml:space="preserve"> </w:t>
      </w:r>
      <w:r w:rsidRPr="002C538F">
        <w:t xml:space="preserve">Whether this is a good idea </w:t>
      </w:r>
      <w:r w:rsidRPr="00167C3B">
        <w:t>—</w:t>
      </w:r>
      <w:r w:rsidRPr="002C538F">
        <w:t xml:space="preserve"> a</w:t>
      </w:r>
      <w:r w:rsidR="002113A1">
        <w:t>nd a</w:t>
      </w:r>
      <w:r w:rsidRPr="002C538F">
        <w:t xml:space="preserve"> constitutionally permissible idea</w:t>
      </w:r>
      <w:r>
        <w:t xml:space="preserve"> </w:t>
      </w:r>
      <w:r w:rsidRPr="00167C3B">
        <w:t>—</w:t>
      </w:r>
      <w:r>
        <w:t xml:space="preserve"> </w:t>
      </w:r>
      <w:r w:rsidRPr="002C538F">
        <w:t>i</w:t>
      </w:r>
      <w:r>
        <w:t>s the issue avoided.</w:t>
      </w:r>
    </w:p>
  </w:footnote>
  <w:footnote w:id="35">
    <w:p w14:paraId="7DC8245A" w14:textId="7409B731" w:rsidR="0020358C" w:rsidRDefault="0020358C">
      <w:pPr>
        <w:pStyle w:val="FootnoteText"/>
      </w:pPr>
      <w:r>
        <w:rPr>
          <w:rStyle w:val="FootnoteReference"/>
        </w:rPr>
        <w:footnoteRef/>
      </w:r>
      <w:r>
        <w:t xml:space="preserve"> </w:t>
      </w:r>
      <w:r w:rsidR="00AA16FB">
        <w:t xml:space="preserve">E.g., </w:t>
      </w:r>
      <w:r w:rsidR="00AA16FB" w:rsidRPr="00AA16FB">
        <w:rPr>
          <w:i/>
          <w:iCs/>
        </w:rPr>
        <w:t>s</w:t>
      </w:r>
      <w:r w:rsidRPr="00AA16FB">
        <w:rPr>
          <w:i/>
          <w:iCs/>
        </w:rPr>
        <w:t>upra</w:t>
      </w:r>
      <w:r>
        <w:t xml:space="preserve"> n</w:t>
      </w:r>
      <w:r w:rsidR="00AA16FB">
        <w:t>ote</w:t>
      </w:r>
      <w:r w:rsidR="00126911">
        <w:t xml:space="preserve"> 21</w:t>
      </w:r>
      <w:r w:rsidR="00BD411C">
        <w:t>.</w:t>
      </w:r>
    </w:p>
  </w:footnote>
  <w:footnote w:id="36">
    <w:p w14:paraId="6BFACDAE" w14:textId="7922560A" w:rsidR="00863DB2" w:rsidRDefault="002313BB">
      <w:pPr>
        <w:pStyle w:val="FootnoteText"/>
      </w:pPr>
      <w:r>
        <w:rPr>
          <w:rStyle w:val="FootnoteReference"/>
        </w:rPr>
        <w:footnoteRef/>
      </w:r>
      <w:r>
        <w:t xml:space="preserve"> </w:t>
      </w:r>
      <w:r w:rsidRPr="002313BB">
        <w:t>Speaking of the common law</w:t>
      </w:r>
      <w:r w:rsidR="006618C9">
        <w:t xml:space="preserve">, </w:t>
      </w:r>
      <w:r w:rsidRPr="002313BB">
        <w:t xml:space="preserve">what is the status now of its distribution of common law rights and freedoms constituting the law of worker freedom of association </w:t>
      </w:r>
      <w:r w:rsidR="004D0538">
        <w:t>“outside” the statute</w:t>
      </w:r>
      <w:r w:rsidR="00940D1A">
        <w:t xml:space="preserve"> </w:t>
      </w:r>
      <w:r w:rsidRPr="002313BB">
        <w:t>for all workers, not just managers? Th</w:t>
      </w:r>
      <w:r w:rsidR="004D0538">
        <w:t xml:space="preserve">e common </w:t>
      </w:r>
      <w:r w:rsidR="00873FF9">
        <w:t xml:space="preserve">law </w:t>
      </w:r>
      <w:r w:rsidR="00873FF9" w:rsidRPr="002313BB">
        <w:t>is</w:t>
      </w:r>
      <w:r w:rsidRPr="002313BB">
        <w:t xml:space="preserve"> the legal territory upon which the SCC is operating in </w:t>
      </w:r>
      <w:r w:rsidR="00262ECA">
        <w:rPr>
          <w:i/>
          <w:iCs/>
        </w:rPr>
        <w:t>C</w:t>
      </w:r>
      <w:r w:rsidR="00262ECA" w:rsidRPr="007A4305">
        <w:rPr>
          <w:i/>
          <w:iCs/>
        </w:rPr>
        <w:t xml:space="preserve">asinos du </w:t>
      </w:r>
      <w:r w:rsidR="008A5978" w:rsidRPr="007A4305">
        <w:rPr>
          <w:i/>
          <w:iCs/>
        </w:rPr>
        <w:t>Québec</w:t>
      </w:r>
      <w:r w:rsidR="00164C9E" w:rsidRPr="00F40BBD">
        <w:t>.</w:t>
      </w:r>
      <w:r w:rsidRPr="002313BB">
        <w:t xml:space="preserve"> </w:t>
      </w:r>
      <w:r w:rsidR="004D0538">
        <w:t xml:space="preserve">That is the body of law which is being constitutionally operated upon. </w:t>
      </w:r>
      <w:r w:rsidRPr="002313BB">
        <w:t xml:space="preserve">Managers are excluded from the statutes. </w:t>
      </w:r>
      <w:r w:rsidR="00873FF9" w:rsidRPr="002313BB">
        <w:t>Their law</w:t>
      </w:r>
      <w:r w:rsidRPr="002313BB">
        <w:t xml:space="preserve"> is the common law. That is the legal terrain which is being tilled in </w:t>
      </w:r>
      <w:r w:rsidRPr="002313BB">
        <w:rPr>
          <w:i/>
          <w:iCs/>
        </w:rPr>
        <w:t>Casinos du Québec</w:t>
      </w:r>
      <w:r w:rsidR="00681026">
        <w:t>.</w:t>
      </w:r>
      <w:r w:rsidRPr="002313BB">
        <w:t xml:space="preserve"> </w:t>
      </w:r>
      <w:r w:rsidR="00D263E8">
        <w:t>Under that law</w:t>
      </w:r>
      <w:r w:rsidR="006B1221">
        <w:t>,</w:t>
      </w:r>
      <w:r w:rsidR="00D263E8">
        <w:t xml:space="preserve"> the managers have the freedom to strike but </w:t>
      </w:r>
      <w:r w:rsidR="007F5389">
        <w:t xml:space="preserve">can be fired for doing so. </w:t>
      </w:r>
      <w:r w:rsidR="000C0730">
        <w:t xml:space="preserve">This is </w:t>
      </w:r>
      <w:r w:rsidR="00810104">
        <w:t>a</w:t>
      </w:r>
      <w:r w:rsidR="000C0730">
        <w:t xml:space="preserve">s </w:t>
      </w:r>
      <w:r w:rsidR="00810104">
        <w:t>we have noted</w:t>
      </w:r>
      <w:r w:rsidR="00ED6701">
        <w:t xml:space="preserve"> (n.2)</w:t>
      </w:r>
      <w:r w:rsidR="00810104">
        <w:t xml:space="preserve"> what </w:t>
      </w:r>
      <w:r w:rsidR="000C0730">
        <w:t>Tucker</w:t>
      </w:r>
      <w:r w:rsidR="00810104">
        <w:t xml:space="preserve"> says is</w:t>
      </w:r>
      <w:r w:rsidR="000C0730">
        <w:t xml:space="preserve"> </w:t>
      </w:r>
      <w:r w:rsidR="00810104">
        <w:t>“</w:t>
      </w:r>
      <w:r w:rsidR="000C0730">
        <w:t>freedom without rights”</w:t>
      </w:r>
      <w:r w:rsidR="00E31810">
        <w:t>. But now we are told that</w:t>
      </w:r>
      <w:r w:rsidR="000C0730">
        <w:t xml:space="preserve"> </w:t>
      </w:r>
      <w:r w:rsidRPr="002313BB">
        <w:t>Managers have the “right” to strike</w:t>
      </w:r>
      <w:r w:rsidR="00E31810">
        <w:t xml:space="preserve">. What does that mean? As </w:t>
      </w:r>
      <w:r w:rsidR="00A27316">
        <w:t xml:space="preserve">the dissenting Justices </w:t>
      </w:r>
      <w:r w:rsidR="00A27316" w:rsidRPr="00A27316">
        <w:t xml:space="preserve">Rothstein and Wagner </w:t>
      </w:r>
      <w:r w:rsidR="00A27316">
        <w:t xml:space="preserve">point out </w:t>
      </w:r>
      <w:r w:rsidR="00E31810">
        <w:t xml:space="preserve">in </w:t>
      </w:r>
      <w:proofErr w:type="spellStart"/>
      <w:r w:rsidR="00131D6C" w:rsidRPr="00F055DB">
        <w:rPr>
          <w:i/>
          <w:iCs/>
        </w:rPr>
        <w:t>SaskFed</w:t>
      </w:r>
      <w:proofErr w:type="spellEnd"/>
      <w:r w:rsidR="00131D6C">
        <w:t xml:space="preserve">, </w:t>
      </w:r>
      <w:r w:rsidR="00131D6C">
        <w:rPr>
          <w:i/>
          <w:iCs/>
        </w:rPr>
        <w:t xml:space="preserve">supra </w:t>
      </w:r>
      <w:r w:rsidR="00131D6C">
        <w:t xml:space="preserve">note </w:t>
      </w:r>
      <w:r w:rsidR="00131D6C">
        <w:fldChar w:fldCharType="begin"/>
      </w:r>
      <w:r w:rsidR="00131D6C">
        <w:instrText xml:space="preserve"> NOTEREF _Ref178518964 \h </w:instrText>
      </w:r>
      <w:r w:rsidR="00131D6C">
        <w:fldChar w:fldCharType="separate"/>
      </w:r>
      <w:r w:rsidR="0058649B">
        <w:t>30</w:t>
      </w:r>
      <w:r w:rsidR="00131D6C">
        <w:fldChar w:fldCharType="end"/>
      </w:r>
      <w:r w:rsidR="00131D6C">
        <w:t xml:space="preserve"> </w:t>
      </w:r>
      <w:r w:rsidR="00274DA4">
        <w:t>at para</w:t>
      </w:r>
      <w:r w:rsidR="00863DB2">
        <w:t>graph 111:</w:t>
      </w:r>
      <w:r w:rsidR="00863DB2" w:rsidRPr="00863DB2">
        <w:t xml:space="preserve"> </w:t>
      </w:r>
      <w:r w:rsidR="00863DB2">
        <w:t xml:space="preserve">“But the majority conflates this common law right to withdraw labour with the modern, statutory right to strike, which imposes obligations on employers: “Historically, there was no legal ‘right’ to strike at common law, entailing a correlative obligation on an employer to refrain from retaliatory measures, but rather a common law ‘freedom’ to do so” (B. Oliphant, “Exiting the Freedom of Association Labyrinth: Resurrecting the Parallel Liberty Standard Under 2(d) &amp; Saving the Freedom to Strike” (2012), 70:2 </w:t>
      </w:r>
      <w:r w:rsidR="00863DB2">
        <w:rPr>
          <w:i/>
          <w:iCs/>
        </w:rPr>
        <w:t>U.T. Fac. L. Rev.</w:t>
      </w:r>
      <w:r w:rsidR="00863DB2">
        <w:t xml:space="preserve"> 36, at p. 41). Thus, at common law, employers are not obligated to refrain from terminating striking workers or from hiring replacement employees to perform their functions (see B. Langille, “What Is a Strike?” (2009-2010), 15 </w:t>
      </w:r>
      <w:r w:rsidR="00863DB2">
        <w:rPr>
          <w:i/>
          <w:iCs/>
        </w:rPr>
        <w:t>C.L.E.L.J.</w:t>
      </w:r>
      <w:r w:rsidR="00863DB2">
        <w:t xml:space="preserve"> 355, at pp. 368-69).”</w:t>
      </w:r>
      <w:r w:rsidR="00C7017F">
        <w:t xml:space="preserve"> As I read it the majority judgement never </w:t>
      </w:r>
      <w:r w:rsidR="00DB79DB">
        <w:t xml:space="preserve">responds to this allegation made in the dissent (that the majority has moved </w:t>
      </w:r>
      <w:r w:rsidR="00303118">
        <w:t xml:space="preserve">beyond a freedom to strike to conjoin it </w:t>
      </w:r>
      <w:r w:rsidR="00E23FD0">
        <w:t>with</w:t>
      </w:r>
      <w:r w:rsidR="00303118">
        <w:t xml:space="preserve"> a new </w:t>
      </w:r>
      <w:r w:rsidR="00E23FD0">
        <w:t xml:space="preserve">(derivative) </w:t>
      </w:r>
      <w:r w:rsidR="00303118">
        <w:t>right/duty</w:t>
      </w:r>
      <w:r w:rsidR="00E23FD0">
        <w:t>.</w:t>
      </w:r>
      <w:r w:rsidR="0052315B">
        <w:t>)</w:t>
      </w:r>
      <w:r w:rsidR="00E23FD0">
        <w:t xml:space="preserve"> That is in</w:t>
      </w:r>
      <w:r w:rsidR="0086133E">
        <w:t xml:space="preserve"> </w:t>
      </w:r>
      <w:r w:rsidR="00E23FD0">
        <w:t xml:space="preserve">itself rather extraordinary. </w:t>
      </w:r>
      <w:r w:rsidR="00C07989">
        <w:t>But</w:t>
      </w:r>
      <w:r w:rsidR="0086133E">
        <w:t xml:space="preserve"> s</w:t>
      </w:r>
      <w:r w:rsidR="00E23FD0">
        <w:t xml:space="preserve">ee </w:t>
      </w:r>
      <w:proofErr w:type="spellStart"/>
      <w:r w:rsidR="002C54DC" w:rsidRPr="00C07989">
        <w:rPr>
          <w:i/>
          <w:iCs/>
        </w:rPr>
        <w:t>Medleaf</w:t>
      </w:r>
      <w:proofErr w:type="spellEnd"/>
      <w:r w:rsidR="002C54DC" w:rsidRPr="00C07989">
        <w:rPr>
          <w:i/>
          <w:iCs/>
        </w:rPr>
        <w:t xml:space="preserve"> </w:t>
      </w:r>
      <w:r w:rsidR="002C54DC">
        <w:rPr>
          <w:i/>
          <w:iCs/>
        </w:rPr>
        <w:t>2020</w:t>
      </w:r>
      <w:r w:rsidR="00C33AB9" w:rsidRPr="00974B3B">
        <w:t xml:space="preserve"> ONAFRAAT 08</w:t>
      </w:r>
      <w:r w:rsidR="00974B3B">
        <w:rPr>
          <w:i/>
          <w:iCs/>
        </w:rPr>
        <w:t xml:space="preserve"> </w:t>
      </w:r>
      <w:r w:rsidR="00E23FD0">
        <w:t xml:space="preserve">where this </w:t>
      </w:r>
      <w:r w:rsidR="00736ACF">
        <w:t xml:space="preserve">ambiguity is resolved by saying the majority did </w:t>
      </w:r>
      <w:r w:rsidR="00736ACF" w:rsidRPr="00C07989">
        <w:rPr>
          <w:b/>
          <w:bCs/>
        </w:rPr>
        <w:t xml:space="preserve">not </w:t>
      </w:r>
      <w:r w:rsidR="00736ACF">
        <w:t>create the new right</w:t>
      </w:r>
      <w:r w:rsidR="0086133E">
        <w:t>/duty as alleged by the dissent.</w:t>
      </w:r>
    </w:p>
    <w:p w14:paraId="59A45F53" w14:textId="0B908FED" w:rsidR="002313BB" w:rsidRDefault="00C07989">
      <w:pPr>
        <w:pStyle w:val="FootnoteText"/>
      </w:pPr>
      <w:r>
        <w:t xml:space="preserve"> </w:t>
      </w:r>
      <w:r w:rsidR="000B46CF">
        <w:t>But w</w:t>
      </w:r>
      <w:r w:rsidR="002313BB" w:rsidRPr="002313BB">
        <w:t xml:space="preserve">hatever that means (derivative right/duty </w:t>
      </w:r>
      <w:r w:rsidR="0096278B">
        <w:t>n</w:t>
      </w:r>
      <w:r w:rsidR="000B46CF">
        <w:t xml:space="preserve">ot to be fired </w:t>
      </w:r>
      <w:r w:rsidR="002313BB" w:rsidRPr="002313BB">
        <w:t xml:space="preserve">as well as the freedom?), this must be legally so at common law for all employees. </w:t>
      </w:r>
      <w:r w:rsidR="004D0538">
        <w:t>If there is a derivative right/duty, it is a new one for the common law. But t</w:t>
      </w:r>
      <w:r w:rsidR="002313BB" w:rsidRPr="002313BB">
        <w:t xml:space="preserve">here is not one common law for managers and one for the managed. (Nor for government employees and non-governmental employees.) But there </w:t>
      </w:r>
      <w:r w:rsidR="006B1221">
        <w:t xml:space="preserve">is </w:t>
      </w:r>
      <w:r w:rsidR="004D0538">
        <w:t xml:space="preserve">also </w:t>
      </w:r>
      <w:r w:rsidR="002313BB" w:rsidRPr="002313BB">
        <w:t>an</w:t>
      </w:r>
      <w:r w:rsidR="00F4633D">
        <w:t>other</w:t>
      </w:r>
      <w:r w:rsidR="002313BB" w:rsidRPr="002313BB">
        <w:t xml:space="preserve"> obvious </w:t>
      </w:r>
      <w:r w:rsidR="004D0538">
        <w:t xml:space="preserve">issue </w:t>
      </w:r>
      <w:r w:rsidR="00376FED" w:rsidRPr="002313BB">
        <w:t>—</w:t>
      </w:r>
      <w:r w:rsidR="004D0538">
        <w:t xml:space="preserve"> and </w:t>
      </w:r>
      <w:r w:rsidR="002313BB" w:rsidRPr="002313BB">
        <w:t xml:space="preserve">problem. Most employees, unlike managers, are not excluded from our statutes. Can it be the case that those employees </w:t>
      </w:r>
      <w:r w:rsidR="004D0538">
        <w:t>“</w:t>
      </w:r>
      <w:r w:rsidR="002313BB" w:rsidRPr="002313BB">
        <w:t>inside</w:t>
      </w:r>
      <w:r w:rsidR="004D0538">
        <w:t>”</w:t>
      </w:r>
      <w:r w:rsidR="002313BB" w:rsidRPr="002313BB">
        <w:t xml:space="preserve"> and those employees </w:t>
      </w:r>
      <w:r w:rsidR="004D0538">
        <w:t>“</w:t>
      </w:r>
      <w:r w:rsidR="002313BB" w:rsidRPr="002313BB">
        <w:t>outside</w:t>
      </w:r>
      <w:r w:rsidR="004D0538">
        <w:t>”</w:t>
      </w:r>
      <w:r w:rsidR="002313BB" w:rsidRPr="002313BB">
        <w:t xml:space="preserve"> have different legal constellations of rights/duties and freedoms constituting their right to strike? For example, can excluded employees strike for recognition (the situation at common law) while included employees cannot? Can they have “minority” unions while </w:t>
      </w:r>
      <w:proofErr w:type="gramStart"/>
      <w:r w:rsidR="002313BB" w:rsidRPr="002313BB">
        <w:t>those inside</w:t>
      </w:r>
      <w:proofErr w:type="gramEnd"/>
      <w:r w:rsidR="002313BB" w:rsidRPr="002313BB">
        <w:t xml:space="preserve"> cannot? Does anyone really </w:t>
      </w:r>
      <w:r w:rsidR="006B1221" w:rsidRPr="002313BB">
        <w:t>think those</w:t>
      </w:r>
      <w:r w:rsidR="002313BB" w:rsidRPr="002313BB">
        <w:t xml:space="preserve"> </w:t>
      </w:r>
      <w:r w:rsidR="00541F64">
        <w:t xml:space="preserve">sorts of </w:t>
      </w:r>
      <w:r w:rsidR="002313BB" w:rsidRPr="002313BB">
        <w:t xml:space="preserve">outcomes </w:t>
      </w:r>
      <w:r w:rsidR="000C7642">
        <w:t>are</w:t>
      </w:r>
      <w:r w:rsidR="002313BB" w:rsidRPr="002313BB">
        <w:t xml:space="preserve"> the intent of the Wagner Act Model? </w:t>
      </w:r>
      <w:r w:rsidR="0087533C">
        <w:t>That th</w:t>
      </w:r>
      <w:r w:rsidR="00F103CE">
        <w:t xml:space="preserve">ose outcomes were seen to be </w:t>
      </w:r>
      <w:r w:rsidR="00F546E2">
        <w:t xml:space="preserve">legal results flowing from </w:t>
      </w:r>
      <w:r w:rsidR="00E31A07">
        <w:t xml:space="preserve">the </w:t>
      </w:r>
      <w:r w:rsidR="002313BB" w:rsidRPr="002313BB">
        <w:t>exclusion? I don’t.</w:t>
      </w:r>
    </w:p>
  </w:footnote>
  <w:footnote w:id="37">
    <w:p w14:paraId="43A0D23D" w14:textId="50707451" w:rsidR="00D757EE" w:rsidRPr="0018378E" w:rsidRDefault="00D757EE" w:rsidP="00D757EE">
      <w:pPr>
        <w:pStyle w:val="FootnoteText"/>
      </w:pPr>
      <w:r>
        <w:rPr>
          <w:rStyle w:val="FootnoteReference"/>
        </w:rPr>
        <w:footnoteRef/>
      </w:r>
      <w:r w:rsidRPr="0018378E">
        <w:t xml:space="preserve"> </w:t>
      </w:r>
      <w:r>
        <w:rPr>
          <w:i/>
          <w:iCs/>
        </w:rPr>
        <w:t>Ibid</w:t>
      </w:r>
      <w:r w:rsidR="00B86E78">
        <w:rPr>
          <w:i/>
          <w:iCs/>
        </w:rPr>
        <w:t>.</w:t>
      </w:r>
    </w:p>
  </w:footnote>
  <w:footnote w:id="38">
    <w:p w14:paraId="408C5010" w14:textId="30A1AA21" w:rsidR="00FA6AD0" w:rsidRPr="00FA6AD0" w:rsidRDefault="00FA6AD0">
      <w:pPr>
        <w:pStyle w:val="FootnoteText"/>
      </w:pPr>
      <w:r>
        <w:rPr>
          <w:rStyle w:val="FootnoteReference"/>
        </w:rPr>
        <w:footnoteRef/>
      </w:r>
      <w:r w:rsidRPr="00FA6AD0">
        <w:t xml:space="preserve"> To his credit</w:t>
      </w:r>
      <w:r w:rsidR="00605B5C">
        <w:t>,</w:t>
      </w:r>
      <w:r w:rsidRPr="00FA6AD0">
        <w:t xml:space="preserve"> </w:t>
      </w:r>
      <w:r w:rsidR="005708AB">
        <w:t xml:space="preserve">Justice </w:t>
      </w:r>
      <w:r w:rsidRPr="00FA6AD0">
        <w:t xml:space="preserve">Rowe </w:t>
      </w:r>
      <w:r>
        <w:t xml:space="preserve">sees this point </w:t>
      </w:r>
      <w:r w:rsidR="00BF7107">
        <w:t xml:space="preserve">very clearly </w:t>
      </w:r>
      <w:r>
        <w:t xml:space="preserve">in his </w:t>
      </w:r>
      <w:r w:rsidR="00733C65">
        <w:t>concurring</w:t>
      </w:r>
      <w:r>
        <w:t xml:space="preserve"> judgement</w:t>
      </w:r>
      <w:r w:rsidR="00282D3D">
        <w:t xml:space="preserve">, see </w:t>
      </w:r>
      <w:r w:rsidR="00282D3D">
        <w:rPr>
          <w:i/>
          <w:iCs/>
        </w:rPr>
        <w:t xml:space="preserve">ibid </w:t>
      </w:r>
      <w:r w:rsidR="00282D3D">
        <w:t>at paras 203</w:t>
      </w:r>
      <w:r w:rsidR="00282D3D" w:rsidRPr="00167C3B">
        <w:t>—</w:t>
      </w:r>
      <w:r w:rsidR="00282D3D">
        <w:t>16</w:t>
      </w:r>
      <w:r w:rsidR="00773D2D">
        <w:t>.</w:t>
      </w:r>
    </w:p>
  </w:footnote>
  <w:footnote w:id="39">
    <w:p w14:paraId="30C51B25" w14:textId="3F249DF0" w:rsidR="004750A2" w:rsidRDefault="004750A2">
      <w:pPr>
        <w:pStyle w:val="FootnoteText"/>
      </w:pPr>
      <w:r>
        <w:rPr>
          <w:rStyle w:val="FootnoteReference"/>
        </w:rPr>
        <w:footnoteRef/>
      </w:r>
      <w:r>
        <w:t xml:space="preserve"> For more on this point see Hastie and </w:t>
      </w:r>
      <w:r w:rsidR="0026056D">
        <w:t xml:space="preserve">Nicol </w:t>
      </w:r>
      <w:r w:rsidR="00413E2E">
        <w:t>supra n 2</w:t>
      </w:r>
      <w:r>
        <w:t xml:space="preserve"> and Tucker</w:t>
      </w:r>
      <w:r w:rsidR="00885743">
        <w:t xml:space="preserve">, </w:t>
      </w:r>
      <w:r w:rsidR="00A451E6">
        <w:t xml:space="preserve">“Liberal Voluntarism”, </w:t>
      </w:r>
      <w:r>
        <w:t>s</w:t>
      </w:r>
      <w:r w:rsidR="00873E15">
        <w:t>upra n</w:t>
      </w:r>
      <w:r w:rsidR="00A451E6">
        <w:t>ote</w:t>
      </w:r>
      <w:r w:rsidR="00873E15">
        <w:t xml:space="preserve"> 1</w:t>
      </w:r>
      <w:r w:rsidR="00C33AB9">
        <w:t>.</w:t>
      </w:r>
    </w:p>
  </w:footnote>
  <w:footnote w:id="40">
    <w:p w14:paraId="2068A003" w14:textId="17290F12" w:rsidR="00942886" w:rsidRPr="00670806" w:rsidRDefault="00942886">
      <w:pPr>
        <w:pStyle w:val="FootnoteText"/>
      </w:pPr>
      <w:r>
        <w:rPr>
          <w:rStyle w:val="FootnoteReference"/>
        </w:rPr>
        <w:footnoteRef/>
      </w:r>
      <w:r w:rsidRPr="00F41FC9">
        <w:t xml:space="preserve"> </w:t>
      </w:r>
      <w:r w:rsidR="00670806" w:rsidRPr="00F41FC9">
        <w:rPr>
          <w:i/>
          <w:iCs/>
        </w:rPr>
        <w:t>Dunmore</w:t>
      </w:r>
      <w:r w:rsidR="00670806">
        <w:t xml:space="preserve">, </w:t>
      </w:r>
      <w:r w:rsidR="00670806">
        <w:rPr>
          <w:i/>
          <w:iCs/>
        </w:rPr>
        <w:t xml:space="preserve">supra </w:t>
      </w:r>
      <w:r w:rsidR="00670806">
        <w:t>note</w:t>
      </w:r>
      <w:r w:rsidR="00143A24">
        <w:t xml:space="preserve"> </w:t>
      </w:r>
      <w:r w:rsidR="00143A24">
        <w:fldChar w:fldCharType="begin"/>
      </w:r>
      <w:r w:rsidR="00143A24">
        <w:instrText xml:space="preserve"> NOTEREF _Ref178518964 \h </w:instrText>
      </w:r>
      <w:r w:rsidR="00143A24">
        <w:fldChar w:fldCharType="separate"/>
      </w:r>
      <w:r w:rsidR="0058649B">
        <w:t>30</w:t>
      </w:r>
      <w:r w:rsidR="00143A24">
        <w:fldChar w:fldCharType="end"/>
      </w:r>
      <w:r w:rsidR="00143A24">
        <w:t>.</w:t>
      </w:r>
    </w:p>
  </w:footnote>
  <w:footnote w:id="41">
    <w:p w14:paraId="28F4B7AB" w14:textId="52716AC5" w:rsidR="00D901C6" w:rsidRPr="00F91DA2" w:rsidRDefault="00D901C6" w:rsidP="000410C7">
      <w:pPr>
        <w:pStyle w:val="FootnoteText"/>
      </w:pPr>
      <w:r>
        <w:rPr>
          <w:rStyle w:val="FootnoteReference"/>
        </w:rPr>
        <w:footnoteRef/>
      </w:r>
      <w:r>
        <w:t xml:space="preserve"> </w:t>
      </w:r>
      <w:r w:rsidR="0055569D">
        <w:t>S</w:t>
      </w:r>
      <w:r w:rsidR="00BA440B">
        <w:t xml:space="preserve">ee </w:t>
      </w:r>
      <w:r w:rsidR="00BA440B" w:rsidRPr="00BA440B">
        <w:t xml:space="preserve">Langille &amp; Oliphant, </w:t>
      </w:r>
      <w:r w:rsidR="00774007">
        <w:rPr>
          <w:i/>
          <w:iCs/>
        </w:rPr>
        <w:t xml:space="preserve">supra </w:t>
      </w:r>
      <w:r w:rsidR="00774007">
        <w:t xml:space="preserve">note </w:t>
      </w:r>
      <w:r w:rsidR="00005BF9">
        <w:fldChar w:fldCharType="begin"/>
      </w:r>
      <w:r w:rsidR="00005BF9">
        <w:instrText xml:space="preserve"> NOTEREF _Ref178273468 \h </w:instrText>
      </w:r>
      <w:r w:rsidR="00005BF9">
        <w:fldChar w:fldCharType="separate"/>
      </w:r>
      <w:r w:rsidR="0058649B">
        <w:t>26</w:t>
      </w:r>
      <w:r w:rsidR="00005BF9">
        <w:fldChar w:fldCharType="end"/>
      </w:r>
      <w:r w:rsidR="005C65A8">
        <w:t xml:space="preserve">; </w:t>
      </w:r>
      <w:r w:rsidR="001D0C74" w:rsidRPr="00F91DA2">
        <w:t>Langille,</w:t>
      </w:r>
      <w:r w:rsidR="001D0C74">
        <w:t xml:space="preserve"> </w:t>
      </w:r>
      <w:r w:rsidR="001D0C74" w:rsidRPr="00F91DA2">
        <w:t>“Right-Freedom Distinction”</w:t>
      </w:r>
      <w:r w:rsidR="001D0C74">
        <w:t xml:space="preserve">, </w:t>
      </w:r>
      <w:r w:rsidR="001D0C74">
        <w:rPr>
          <w:i/>
          <w:iCs/>
        </w:rPr>
        <w:t xml:space="preserve">supra </w:t>
      </w:r>
      <w:r w:rsidR="001D0C74">
        <w:t xml:space="preserve">note </w:t>
      </w:r>
      <w:r w:rsidR="001D0C74">
        <w:fldChar w:fldCharType="begin"/>
      </w:r>
      <w:r w:rsidR="001D0C74">
        <w:instrText xml:space="preserve"> NOTEREF _Ref178936886 \h </w:instrText>
      </w:r>
      <w:r w:rsidR="001D0C74">
        <w:fldChar w:fldCharType="separate"/>
      </w:r>
      <w:r w:rsidR="0058649B">
        <w:t>5</w:t>
      </w:r>
      <w:r w:rsidR="001D0C74">
        <w:fldChar w:fldCharType="end"/>
      </w:r>
      <w:r w:rsidR="00E95113">
        <w:t xml:space="preserve">; </w:t>
      </w:r>
      <w:r w:rsidR="00E95113">
        <w:rPr>
          <w:szCs w:val="24"/>
        </w:rPr>
        <w:t>Langille, “</w:t>
      </w:r>
      <w:r w:rsidR="00E95113">
        <w:t>Trilogy</w:t>
      </w:r>
      <w:r w:rsidR="00E95113">
        <w:rPr>
          <w:szCs w:val="24"/>
        </w:rPr>
        <w:t>”</w:t>
      </w:r>
      <w:r w:rsidR="00E95113" w:rsidRPr="00E95113">
        <w:rPr>
          <w:i/>
          <w:iCs/>
        </w:rPr>
        <w:t xml:space="preserve"> </w:t>
      </w:r>
      <w:r w:rsidR="00E95113">
        <w:rPr>
          <w:i/>
          <w:iCs/>
        </w:rPr>
        <w:t xml:space="preserve">supra </w:t>
      </w:r>
      <w:r w:rsidR="00E95113">
        <w:t xml:space="preserve">note </w:t>
      </w:r>
      <w:r w:rsidR="00E95113">
        <w:fldChar w:fldCharType="begin"/>
      </w:r>
      <w:r w:rsidR="00E95113">
        <w:instrText xml:space="preserve"> NOTEREF _Ref178273468 \h </w:instrText>
      </w:r>
      <w:r w:rsidR="00E95113">
        <w:fldChar w:fldCharType="separate"/>
      </w:r>
      <w:r w:rsidR="0058649B">
        <w:t>26</w:t>
      </w:r>
      <w:r w:rsidR="00E95113">
        <w:fldChar w:fldCharType="end"/>
      </w:r>
      <w:r w:rsidR="00E95113">
        <w:t xml:space="preserve"> at 295</w:t>
      </w:r>
      <w:r w:rsidR="00E95113" w:rsidRPr="00366C05">
        <w:rPr>
          <w:szCs w:val="24"/>
        </w:rPr>
        <w:t>—</w:t>
      </w:r>
      <w:r w:rsidR="00E95113">
        <w:rPr>
          <w:szCs w:val="24"/>
        </w:rPr>
        <w:t>97</w:t>
      </w:r>
      <w:r w:rsidR="0096278B">
        <w:rPr>
          <w:szCs w:val="24"/>
        </w:rPr>
        <w:t>.</w:t>
      </w:r>
    </w:p>
  </w:footnote>
  <w:footnote w:id="42">
    <w:p w14:paraId="613A4C93" w14:textId="53C5F7F7" w:rsidR="00F055DB" w:rsidRPr="00F055DB" w:rsidRDefault="00F055DB">
      <w:pPr>
        <w:pStyle w:val="FootnoteText"/>
      </w:pPr>
      <w:r>
        <w:rPr>
          <w:rStyle w:val="FootnoteReference"/>
        </w:rPr>
        <w:footnoteRef/>
      </w:r>
      <w:r>
        <w:t xml:space="preserve"> </w:t>
      </w:r>
      <w:proofErr w:type="spellStart"/>
      <w:r w:rsidR="00B06143" w:rsidRPr="00F055DB">
        <w:rPr>
          <w:i/>
          <w:iCs/>
        </w:rPr>
        <w:t>SaskFed</w:t>
      </w:r>
      <w:proofErr w:type="spellEnd"/>
      <w:r w:rsidR="00412084">
        <w:t xml:space="preserve">, </w:t>
      </w:r>
      <w:r w:rsidR="00412084">
        <w:rPr>
          <w:i/>
          <w:iCs/>
        </w:rPr>
        <w:t xml:space="preserve">supra </w:t>
      </w:r>
      <w:r w:rsidR="00412084">
        <w:t xml:space="preserve">note </w:t>
      </w:r>
      <w:r w:rsidR="00C36476">
        <w:fldChar w:fldCharType="begin"/>
      </w:r>
      <w:r w:rsidR="00C36476">
        <w:instrText xml:space="preserve"> NOTEREF _Ref178518964 \h </w:instrText>
      </w:r>
      <w:r w:rsidR="00C36476">
        <w:fldChar w:fldCharType="separate"/>
      </w:r>
      <w:r w:rsidR="0058649B">
        <w:t>30</w:t>
      </w:r>
      <w:r w:rsidR="00C36476">
        <w:fldChar w:fldCharType="end"/>
      </w:r>
      <w:r w:rsidR="00B06143" w:rsidRPr="00742043">
        <w:t>.</w:t>
      </w:r>
    </w:p>
  </w:footnote>
  <w:footnote w:id="43">
    <w:p w14:paraId="5632B371" w14:textId="70F3EA19" w:rsidR="00665F8D" w:rsidRDefault="00665F8D">
      <w:pPr>
        <w:pStyle w:val="FootnoteText"/>
      </w:pPr>
      <w:r>
        <w:rPr>
          <w:rStyle w:val="FootnoteReference"/>
        </w:rPr>
        <w:footnoteRef/>
      </w:r>
      <w:r>
        <w:t xml:space="preserve"> Prior cases of this sort include the </w:t>
      </w:r>
      <w:r w:rsidR="002C62CE">
        <w:t>three</w:t>
      </w:r>
      <w:r>
        <w:t xml:space="preserve"> case</w:t>
      </w:r>
      <w:r w:rsidR="0096278B">
        <w:t>s</w:t>
      </w:r>
      <w:r>
        <w:t xml:space="preserve"> in the original trilogy</w:t>
      </w:r>
      <w:r w:rsidR="00AA16FB">
        <w:t xml:space="preserve"> </w:t>
      </w:r>
      <w:r w:rsidR="00AA16FB" w:rsidRPr="00366C05">
        <w:rPr>
          <w:szCs w:val="24"/>
        </w:rPr>
        <w:t>—</w:t>
      </w:r>
      <w:r>
        <w:t xml:space="preserve"> </w:t>
      </w:r>
      <w:r w:rsidR="00AA16FB">
        <w:t xml:space="preserve">i.e., </w:t>
      </w:r>
      <w:r w:rsidR="00F055DB" w:rsidRPr="00F055DB">
        <w:rPr>
          <w:i/>
          <w:iCs/>
        </w:rPr>
        <w:t>ibid</w:t>
      </w:r>
      <w:r w:rsidR="00F055DB">
        <w:t xml:space="preserve">, </w:t>
      </w:r>
      <w:r w:rsidR="002A6F72">
        <w:rPr>
          <w:i/>
          <w:iCs/>
          <w:szCs w:val="24"/>
        </w:rPr>
        <w:t>BC Health</w:t>
      </w:r>
      <w:r w:rsidR="002A6F72">
        <w:t xml:space="preserve">, </w:t>
      </w:r>
      <w:r w:rsidR="002A6F72">
        <w:rPr>
          <w:i/>
          <w:iCs/>
        </w:rPr>
        <w:t xml:space="preserve">supra </w:t>
      </w:r>
      <w:r w:rsidR="002A6F72">
        <w:t xml:space="preserve">note </w:t>
      </w:r>
      <w:r w:rsidR="002A6F72">
        <w:fldChar w:fldCharType="begin"/>
      </w:r>
      <w:r w:rsidR="002A6F72">
        <w:instrText xml:space="preserve"> NOTEREF _Ref178518964 \h </w:instrText>
      </w:r>
      <w:r w:rsidR="002A6F72">
        <w:fldChar w:fldCharType="separate"/>
      </w:r>
      <w:r w:rsidR="0058649B">
        <w:t>30</w:t>
      </w:r>
      <w:r w:rsidR="002A6F72">
        <w:fldChar w:fldCharType="end"/>
      </w:r>
      <w:r>
        <w:t xml:space="preserve">, </w:t>
      </w:r>
      <w:r w:rsidR="00AA16FB">
        <w:t xml:space="preserve">and </w:t>
      </w:r>
      <w:r w:rsidRPr="005F1A72">
        <w:rPr>
          <w:i/>
          <w:iCs/>
        </w:rPr>
        <w:t>MPAO</w:t>
      </w:r>
      <w:r w:rsidR="008D47C8">
        <w:t>,</w:t>
      </w:r>
      <w:r w:rsidR="00677874">
        <w:t xml:space="preserve"> </w:t>
      </w:r>
      <w:r w:rsidR="005F1A72">
        <w:rPr>
          <w:i/>
          <w:iCs/>
        </w:rPr>
        <w:t xml:space="preserve">supra </w:t>
      </w:r>
      <w:r w:rsidR="005F1A72">
        <w:t xml:space="preserve">note </w:t>
      </w:r>
      <w:r w:rsidR="005F1A72">
        <w:fldChar w:fldCharType="begin"/>
      </w:r>
      <w:r w:rsidR="005F1A72">
        <w:instrText xml:space="preserve"> NOTEREF _Ref178273613 \h </w:instrText>
      </w:r>
      <w:r w:rsidR="005F1A72">
        <w:fldChar w:fldCharType="separate"/>
      </w:r>
      <w:r w:rsidR="0058649B">
        <w:t>13</w:t>
      </w:r>
      <w:r w:rsidR="005F1A72">
        <w:fldChar w:fldCharType="end"/>
      </w:r>
      <w:r w:rsidR="00355A6D">
        <w:t>.</w:t>
      </w:r>
    </w:p>
  </w:footnote>
  <w:footnote w:id="44">
    <w:p w14:paraId="568842D5" w14:textId="45AF208F" w:rsidR="00995F0F" w:rsidRPr="00995F0F" w:rsidRDefault="00995F0F">
      <w:pPr>
        <w:pStyle w:val="FootnoteText"/>
        <w:rPr>
          <w:lang w:val="en-US"/>
        </w:rPr>
      </w:pPr>
      <w:r>
        <w:rPr>
          <w:rStyle w:val="FootnoteReference"/>
        </w:rPr>
        <w:footnoteRef/>
      </w:r>
      <w:r>
        <w:t xml:space="preserve"> </w:t>
      </w:r>
      <w:r w:rsidRPr="00F41FC9">
        <w:rPr>
          <w:i/>
          <w:iCs/>
        </w:rPr>
        <w:t>Dunmore</w:t>
      </w:r>
      <w:r>
        <w:t xml:space="preserve">, </w:t>
      </w:r>
      <w:r>
        <w:rPr>
          <w:i/>
          <w:iCs/>
        </w:rPr>
        <w:t xml:space="preserve">supra </w:t>
      </w:r>
      <w:r>
        <w:t xml:space="preserve">note </w:t>
      </w:r>
      <w:r>
        <w:fldChar w:fldCharType="begin"/>
      </w:r>
      <w:r>
        <w:instrText xml:space="preserve"> NOTEREF _Ref178518964 \h </w:instrText>
      </w:r>
      <w:r>
        <w:fldChar w:fldCharType="separate"/>
      </w:r>
      <w:r w:rsidR="0058649B">
        <w:t>30</w:t>
      </w:r>
      <w:r>
        <w:fldChar w:fldCharType="end"/>
      </w:r>
      <w:r>
        <w:t>.</w:t>
      </w:r>
    </w:p>
  </w:footnote>
  <w:footnote w:id="45">
    <w:p w14:paraId="3521D4C6" w14:textId="772515F7" w:rsidR="006E7555" w:rsidRDefault="006E7555" w:rsidP="00C2511A">
      <w:pPr>
        <w:pStyle w:val="FootnoteText"/>
      </w:pPr>
      <w:r>
        <w:rPr>
          <w:rStyle w:val="FootnoteReference"/>
        </w:rPr>
        <w:footnoteRef/>
      </w:r>
      <w:r>
        <w:t xml:space="preserve"> See the illuminating discussion of this basic point in </w:t>
      </w:r>
      <w:r w:rsidR="00C2511A">
        <w:t xml:space="preserve">Mark V </w:t>
      </w:r>
      <w:proofErr w:type="spellStart"/>
      <w:r w:rsidR="00C2511A">
        <w:t>Tushnet</w:t>
      </w:r>
      <w:proofErr w:type="spellEnd"/>
      <w:r w:rsidR="00C2511A">
        <w:t xml:space="preserve">, </w:t>
      </w:r>
      <w:r w:rsidR="00C2511A" w:rsidRPr="000241BC">
        <w:rPr>
          <w:i/>
          <w:iCs/>
        </w:rPr>
        <w:t xml:space="preserve">Weak Courts, Strong </w:t>
      </w:r>
      <w:r w:rsidR="00EF5610" w:rsidRPr="000241BC">
        <w:rPr>
          <w:i/>
          <w:iCs/>
        </w:rPr>
        <w:t>Rights:</w:t>
      </w:r>
      <w:r w:rsidR="00C2511A" w:rsidRPr="000241BC">
        <w:rPr>
          <w:i/>
          <w:iCs/>
        </w:rPr>
        <w:t xml:space="preserve"> Judicial Review and Social Welfare Rights in Comparative Constitutional Law</w:t>
      </w:r>
      <w:r w:rsidR="00C2511A">
        <w:t xml:space="preserve"> (Princeton, NJ: Princeton University Press, 2008)</w:t>
      </w:r>
      <w:r>
        <w:t>.</w:t>
      </w:r>
    </w:p>
  </w:footnote>
  <w:footnote w:id="46">
    <w:p w14:paraId="2AF65324" w14:textId="6FB051E3" w:rsidR="00995F0F" w:rsidRPr="00995F0F" w:rsidRDefault="00995F0F">
      <w:pPr>
        <w:pStyle w:val="FootnoteText"/>
        <w:rPr>
          <w:lang w:val="en-US"/>
        </w:rPr>
      </w:pPr>
      <w:r>
        <w:rPr>
          <w:rStyle w:val="FootnoteReference"/>
        </w:rPr>
        <w:footnoteRef/>
      </w:r>
      <w:r>
        <w:t xml:space="preserve"> </w:t>
      </w:r>
      <w:r w:rsidRPr="00F41FC9">
        <w:rPr>
          <w:i/>
          <w:iCs/>
        </w:rPr>
        <w:t>Dunmore</w:t>
      </w:r>
      <w:r>
        <w:t xml:space="preserve">, </w:t>
      </w:r>
      <w:r>
        <w:rPr>
          <w:i/>
          <w:iCs/>
        </w:rPr>
        <w:t xml:space="preserve">supra </w:t>
      </w:r>
      <w:r>
        <w:t xml:space="preserve">note </w:t>
      </w:r>
      <w:r>
        <w:fldChar w:fldCharType="begin"/>
      </w:r>
      <w:r>
        <w:instrText xml:space="preserve"> NOTEREF _Ref178518964 \h </w:instrText>
      </w:r>
      <w:r>
        <w:fldChar w:fldCharType="separate"/>
      </w:r>
      <w:r w:rsidR="0058649B">
        <w:t>30</w:t>
      </w:r>
      <w:r>
        <w:fldChar w:fldCharType="end"/>
      </w:r>
      <w:r>
        <w:t>.</w:t>
      </w:r>
    </w:p>
  </w:footnote>
  <w:footnote w:id="47">
    <w:p w14:paraId="67E0477E" w14:textId="3F88BBE4" w:rsidR="004135DB" w:rsidRDefault="004135DB">
      <w:pPr>
        <w:pStyle w:val="FootnoteText"/>
      </w:pPr>
      <w:r>
        <w:rPr>
          <w:rStyle w:val="FootnoteReference"/>
        </w:rPr>
        <w:footnoteRef/>
      </w:r>
      <w:r>
        <w:t xml:space="preserve"> </w:t>
      </w:r>
      <w:r w:rsidR="00AC40C2">
        <w:t xml:space="preserve">Cases </w:t>
      </w:r>
      <w:r>
        <w:t>in this line</w:t>
      </w:r>
      <w:r w:rsidR="007F348E">
        <w:t xml:space="preserve"> include </w:t>
      </w:r>
      <w:r w:rsidR="00F43777">
        <w:rPr>
          <w:i/>
          <w:iCs/>
        </w:rPr>
        <w:t>ibid</w:t>
      </w:r>
      <w:r w:rsidR="00600413">
        <w:t xml:space="preserve">, </w:t>
      </w:r>
      <w:r w:rsidR="007F348E">
        <w:t xml:space="preserve">and </w:t>
      </w:r>
      <w:r w:rsidR="00027DB2" w:rsidRPr="00360A30">
        <w:rPr>
          <w:i/>
          <w:iCs/>
          <w:szCs w:val="24"/>
        </w:rPr>
        <w:t>Fraser</w:t>
      </w:r>
      <w:r w:rsidR="00027DB2">
        <w:rPr>
          <w:szCs w:val="24"/>
        </w:rPr>
        <w:t xml:space="preserve">, </w:t>
      </w:r>
      <w:r w:rsidR="00027DB2">
        <w:rPr>
          <w:i/>
          <w:iCs/>
          <w:szCs w:val="24"/>
        </w:rPr>
        <w:t xml:space="preserve">supra </w:t>
      </w:r>
      <w:r w:rsidR="00027DB2">
        <w:rPr>
          <w:szCs w:val="24"/>
        </w:rPr>
        <w:t xml:space="preserve">note </w:t>
      </w:r>
      <w:r w:rsidR="00027DB2">
        <w:rPr>
          <w:szCs w:val="24"/>
        </w:rPr>
        <w:fldChar w:fldCharType="begin"/>
      </w:r>
      <w:r w:rsidR="00027DB2">
        <w:rPr>
          <w:szCs w:val="24"/>
        </w:rPr>
        <w:instrText xml:space="preserve"> NOTEREF _Ref178265437 \h </w:instrText>
      </w:r>
      <w:r w:rsidR="00027DB2">
        <w:rPr>
          <w:szCs w:val="24"/>
        </w:rPr>
      </w:r>
      <w:r w:rsidR="00027DB2">
        <w:rPr>
          <w:szCs w:val="24"/>
        </w:rPr>
        <w:fldChar w:fldCharType="separate"/>
      </w:r>
      <w:r w:rsidR="0058649B">
        <w:rPr>
          <w:szCs w:val="24"/>
        </w:rPr>
        <w:t>28</w:t>
      </w:r>
      <w:r w:rsidR="00027DB2">
        <w:rPr>
          <w:szCs w:val="24"/>
        </w:rPr>
        <w:fldChar w:fldCharType="end"/>
      </w:r>
      <w:r w:rsidR="007F348E">
        <w:rPr>
          <w:szCs w:val="24"/>
        </w:rPr>
        <w:t>.</w:t>
      </w:r>
    </w:p>
  </w:footnote>
  <w:footnote w:id="48">
    <w:p w14:paraId="6013F1F6" w14:textId="43B4D63C" w:rsidR="00995F0F" w:rsidRPr="0018378E" w:rsidRDefault="00995F0F">
      <w:pPr>
        <w:pStyle w:val="FootnoteText"/>
        <w:rPr>
          <w:lang w:val="it-IT"/>
        </w:rPr>
      </w:pPr>
      <w:r>
        <w:rPr>
          <w:rStyle w:val="FootnoteReference"/>
        </w:rPr>
        <w:footnoteRef/>
      </w:r>
      <w:r w:rsidRPr="0018378E">
        <w:rPr>
          <w:lang w:val="it-IT"/>
        </w:rPr>
        <w:t xml:space="preserve"> </w:t>
      </w:r>
      <w:r w:rsidRPr="0018378E">
        <w:rPr>
          <w:i/>
          <w:iCs/>
          <w:lang w:val="it-IT"/>
        </w:rPr>
        <w:t>Dunmore</w:t>
      </w:r>
      <w:r w:rsidRPr="0018378E">
        <w:rPr>
          <w:lang w:val="it-IT"/>
        </w:rPr>
        <w:t xml:space="preserve">, </w:t>
      </w:r>
      <w:r w:rsidR="0096278B">
        <w:rPr>
          <w:i/>
          <w:iCs/>
          <w:lang w:val="it-IT"/>
        </w:rPr>
        <w:t>sup</w:t>
      </w:r>
      <w:r w:rsidR="0096278B" w:rsidRPr="0018378E">
        <w:rPr>
          <w:i/>
          <w:iCs/>
          <w:lang w:val="it-IT"/>
        </w:rPr>
        <w:t>ra</w:t>
      </w:r>
      <w:r w:rsidRPr="0018378E">
        <w:rPr>
          <w:i/>
          <w:iCs/>
          <w:lang w:val="it-IT"/>
        </w:rPr>
        <w:t xml:space="preserve"> </w:t>
      </w:r>
      <w:r w:rsidRPr="0018378E">
        <w:rPr>
          <w:lang w:val="it-IT"/>
        </w:rPr>
        <w:t xml:space="preserve">note </w:t>
      </w:r>
      <w:r>
        <w:fldChar w:fldCharType="begin"/>
      </w:r>
      <w:r w:rsidRPr="0018378E">
        <w:rPr>
          <w:lang w:val="it-IT"/>
        </w:rPr>
        <w:instrText xml:space="preserve"> NOTEREF _Ref178518964 \h </w:instrText>
      </w:r>
      <w:r>
        <w:fldChar w:fldCharType="separate"/>
      </w:r>
      <w:r w:rsidR="0058649B">
        <w:rPr>
          <w:lang w:val="it-IT"/>
        </w:rPr>
        <w:t>30</w:t>
      </w:r>
      <w:r>
        <w:fldChar w:fldCharType="end"/>
      </w:r>
      <w:r w:rsidR="008A5978">
        <w:rPr>
          <w:lang w:val="it-IT"/>
        </w:rPr>
        <w:t>.</w:t>
      </w:r>
    </w:p>
  </w:footnote>
  <w:footnote w:id="49">
    <w:p w14:paraId="0461EFDC" w14:textId="057C99F1" w:rsidR="00864C93" w:rsidRPr="0018378E" w:rsidRDefault="00864C93">
      <w:pPr>
        <w:pStyle w:val="FootnoteText"/>
        <w:rPr>
          <w:lang w:val="it-IT"/>
        </w:rPr>
      </w:pPr>
      <w:r>
        <w:rPr>
          <w:rStyle w:val="FootnoteReference"/>
        </w:rPr>
        <w:footnoteRef/>
      </w:r>
      <w:r w:rsidRPr="0018378E">
        <w:rPr>
          <w:lang w:val="it-IT"/>
        </w:rPr>
        <w:t xml:space="preserve"> </w:t>
      </w:r>
      <w:r w:rsidRPr="0018378E">
        <w:rPr>
          <w:i/>
          <w:iCs/>
          <w:szCs w:val="24"/>
          <w:lang w:val="it-IT"/>
        </w:rPr>
        <w:t>Fraser</w:t>
      </w:r>
      <w:r w:rsidRPr="0018378E">
        <w:rPr>
          <w:szCs w:val="24"/>
          <w:lang w:val="it-IT"/>
        </w:rPr>
        <w:t xml:space="preserve">, </w:t>
      </w:r>
      <w:r w:rsidR="00131D6C" w:rsidRPr="0018378E">
        <w:rPr>
          <w:i/>
          <w:iCs/>
          <w:szCs w:val="24"/>
          <w:lang w:val="it-IT"/>
        </w:rPr>
        <w:t>spura</w:t>
      </w:r>
      <w:r w:rsidRPr="0018378E">
        <w:rPr>
          <w:i/>
          <w:iCs/>
          <w:szCs w:val="24"/>
          <w:lang w:val="it-IT"/>
        </w:rPr>
        <w:t xml:space="preserve"> </w:t>
      </w:r>
      <w:r w:rsidRPr="0018378E">
        <w:rPr>
          <w:szCs w:val="24"/>
          <w:lang w:val="it-IT"/>
        </w:rPr>
        <w:t xml:space="preserve">note </w:t>
      </w:r>
      <w:r>
        <w:rPr>
          <w:szCs w:val="24"/>
        </w:rPr>
        <w:fldChar w:fldCharType="begin"/>
      </w:r>
      <w:r w:rsidRPr="0018378E">
        <w:rPr>
          <w:szCs w:val="24"/>
          <w:lang w:val="it-IT"/>
        </w:rPr>
        <w:instrText xml:space="preserve"> NOTEREF _Ref178265437 \h </w:instrText>
      </w:r>
      <w:r>
        <w:rPr>
          <w:szCs w:val="24"/>
        </w:rPr>
      </w:r>
      <w:r>
        <w:rPr>
          <w:szCs w:val="24"/>
        </w:rPr>
        <w:fldChar w:fldCharType="separate"/>
      </w:r>
      <w:r w:rsidR="0058649B">
        <w:rPr>
          <w:szCs w:val="24"/>
          <w:lang w:val="it-IT"/>
        </w:rPr>
        <w:t>28</w:t>
      </w:r>
      <w:r>
        <w:rPr>
          <w:szCs w:val="24"/>
        </w:rPr>
        <w:fldChar w:fldCharType="end"/>
      </w:r>
      <w:r w:rsidRPr="0018378E">
        <w:rPr>
          <w:szCs w:val="24"/>
          <w:lang w:val="it-IT"/>
        </w:rPr>
        <w:t>.</w:t>
      </w:r>
    </w:p>
  </w:footnote>
  <w:footnote w:id="50">
    <w:p w14:paraId="73FDCAE7" w14:textId="2DDDE91D" w:rsidR="005E75CE" w:rsidRDefault="005E75CE">
      <w:pPr>
        <w:pStyle w:val="FootnoteText"/>
      </w:pPr>
      <w:r>
        <w:rPr>
          <w:rStyle w:val="FootnoteReference"/>
        </w:rPr>
        <w:footnoteRef/>
      </w:r>
      <w:r>
        <w:t xml:space="preserve"> </w:t>
      </w:r>
      <w:r w:rsidR="00865B70">
        <w:t xml:space="preserve">Alan </w:t>
      </w:r>
      <w:r>
        <w:t>Bogg</w:t>
      </w:r>
      <w:r w:rsidR="00A217FE">
        <w:t xml:space="preserve">, one of </w:t>
      </w:r>
      <w:r w:rsidR="000A35BB">
        <w:t>the</w:t>
      </w:r>
      <w:r w:rsidR="00A217FE">
        <w:t xml:space="preserve"> leading theoreticians of freedo</w:t>
      </w:r>
      <w:r w:rsidR="000A35BB">
        <w:t>m</w:t>
      </w:r>
      <w:r w:rsidR="00A217FE">
        <w:t xml:space="preserve"> of association, </w:t>
      </w:r>
      <w:r w:rsidR="00865B70">
        <w:t>is alive to this point</w:t>
      </w:r>
      <w:r w:rsidR="00284222">
        <w:t xml:space="preserve">, </w:t>
      </w:r>
      <w:r w:rsidR="00865B70">
        <w:t xml:space="preserve">see </w:t>
      </w:r>
      <w:r w:rsidR="00906C92">
        <w:t xml:space="preserve">Alan </w:t>
      </w:r>
      <w:r w:rsidR="00865B70">
        <w:t>Bogg</w:t>
      </w:r>
      <w:r w:rsidR="007947E4">
        <w:t>,</w:t>
      </w:r>
      <w:r w:rsidR="00865B70">
        <w:t xml:space="preserve"> </w:t>
      </w:r>
      <w:r w:rsidR="00FC62A0">
        <w:t>“</w:t>
      </w:r>
      <w:r w:rsidR="00865B70">
        <w:t>Freedom of Association</w:t>
      </w:r>
      <w:r w:rsidR="00FC62A0">
        <w:t>”</w:t>
      </w:r>
      <w:r w:rsidR="00865B70">
        <w:t xml:space="preserve"> in </w:t>
      </w:r>
      <w:r w:rsidR="00E42835" w:rsidRPr="00E42835">
        <w:t xml:space="preserve">Guy Davidov, Brian Langille &amp; Gillian Lester, eds, </w:t>
      </w:r>
      <w:r w:rsidR="00E42835" w:rsidRPr="00607C0B">
        <w:rPr>
          <w:i/>
          <w:iCs/>
        </w:rPr>
        <w:t>Oxford Handbook of the Law of Work</w:t>
      </w:r>
      <w:r w:rsidR="00E42835" w:rsidRPr="00E42835">
        <w:t xml:space="preserve"> (Oxford: Oxford University Press</w:t>
      </w:r>
      <w:r w:rsidR="00EF5610">
        <w:t>, 2024</w:t>
      </w:r>
      <w:r w:rsidR="00FC62A0">
        <w:t>) 425</w:t>
      </w:r>
      <w:r w:rsidR="008176DC">
        <w:t xml:space="preserve"> at 438. </w:t>
      </w:r>
      <w:r w:rsidR="00D77A36">
        <w:t>And very occasionally</w:t>
      </w:r>
      <w:r w:rsidR="00802083">
        <w:t>,</w:t>
      </w:r>
      <w:r w:rsidR="00D77A36">
        <w:t xml:space="preserve"> a member of the SCC will catch a glimpse of it</w:t>
      </w:r>
      <w:r w:rsidR="00575D6A">
        <w:t xml:space="preserve"> as </w:t>
      </w:r>
      <w:r w:rsidR="006C7B7B">
        <w:t xml:space="preserve">Justice </w:t>
      </w:r>
      <w:r w:rsidR="00575D6A">
        <w:t xml:space="preserve">Deschamps did in her </w:t>
      </w:r>
      <w:r w:rsidR="00282D3D">
        <w:t>concurring</w:t>
      </w:r>
      <w:r w:rsidR="00026306">
        <w:t xml:space="preserve"> decision</w:t>
      </w:r>
      <w:r w:rsidR="006132F2">
        <w:t xml:space="preserve"> </w:t>
      </w:r>
      <w:r w:rsidR="00802083">
        <w:t>of</w:t>
      </w:r>
      <w:r w:rsidR="006132F2">
        <w:rPr>
          <w:szCs w:val="24"/>
        </w:rPr>
        <w:t xml:space="preserve"> </w:t>
      </w:r>
      <w:r w:rsidR="00282D3D" w:rsidRPr="004D1AC3">
        <w:rPr>
          <w:i/>
          <w:iCs/>
          <w:szCs w:val="24"/>
        </w:rPr>
        <w:t>Fraser</w:t>
      </w:r>
      <w:r w:rsidR="00282D3D">
        <w:rPr>
          <w:szCs w:val="24"/>
        </w:rPr>
        <w:t xml:space="preserve">, </w:t>
      </w:r>
      <w:r w:rsidR="007D3884">
        <w:rPr>
          <w:i/>
          <w:iCs/>
          <w:szCs w:val="24"/>
        </w:rPr>
        <w:t xml:space="preserve">supra </w:t>
      </w:r>
      <w:r w:rsidR="007D3884">
        <w:rPr>
          <w:szCs w:val="24"/>
        </w:rPr>
        <w:t xml:space="preserve">note </w:t>
      </w:r>
      <w:r w:rsidR="007D3884">
        <w:rPr>
          <w:szCs w:val="24"/>
        </w:rPr>
        <w:fldChar w:fldCharType="begin"/>
      </w:r>
      <w:r w:rsidR="007D3884">
        <w:rPr>
          <w:szCs w:val="24"/>
        </w:rPr>
        <w:instrText xml:space="preserve"> NOTEREF _Ref178265437 \h </w:instrText>
      </w:r>
      <w:r w:rsidR="007D3884">
        <w:rPr>
          <w:szCs w:val="24"/>
        </w:rPr>
      </w:r>
      <w:r w:rsidR="007D3884">
        <w:rPr>
          <w:szCs w:val="24"/>
        </w:rPr>
        <w:fldChar w:fldCharType="separate"/>
      </w:r>
      <w:r w:rsidR="0058649B">
        <w:rPr>
          <w:szCs w:val="24"/>
        </w:rPr>
        <w:t>28</w:t>
      </w:r>
      <w:r w:rsidR="007D3884">
        <w:rPr>
          <w:szCs w:val="24"/>
        </w:rPr>
        <w:fldChar w:fldCharType="end"/>
      </w:r>
      <w:r w:rsidR="007D3884">
        <w:t xml:space="preserve"> at para 318</w:t>
      </w:r>
      <w:r w:rsidR="00370ACF">
        <w:t>:</w:t>
      </w:r>
    </w:p>
    <w:p w14:paraId="5A12A854" w14:textId="77777777" w:rsidR="00B86BB8" w:rsidRDefault="00B86BB8">
      <w:pPr>
        <w:pStyle w:val="FootnoteText"/>
      </w:pPr>
    </w:p>
    <w:p w14:paraId="79208778" w14:textId="49D385DC" w:rsidR="00721D1D" w:rsidRDefault="00575D6A" w:rsidP="00370ACF">
      <w:pPr>
        <w:pStyle w:val="FootnoteText"/>
        <w:ind w:left="720"/>
      </w:pPr>
      <w:r>
        <w:rPr>
          <w:i/>
          <w:iCs/>
        </w:rPr>
        <w:t xml:space="preserve">Dunmore </w:t>
      </w:r>
      <w:r>
        <w:t xml:space="preserve">was concerned with economic inequality. It was based on the notion that the </w:t>
      </w:r>
      <w:r w:rsidRPr="00EB6D4F">
        <w:rPr>
          <w:i/>
          <w:iCs/>
        </w:rPr>
        <w:t>Charter</w:t>
      </w:r>
      <w:r>
        <w:t xml:space="preserve"> does not ordinarily oblige the government to take action to facilitate the exercise of a fundamental freedom. Recognition was given to the dichotomy between positive and negative rights. To get around the general rule, a somewhat convoluted framework was established for cases in which the vulnerability of a group justified resorting to government support.  I agree with B. Langille, “The Freedom of Association Mess: How We Got into It and How We Can Get out of It” (2009), 54 </w:t>
      </w:r>
      <w:r>
        <w:rPr>
          <w:i/>
          <w:iCs/>
        </w:rPr>
        <w:t>McGill L.J.</w:t>
      </w:r>
      <w:r>
        <w:t xml:space="preserve"> 177, that this detour appears to have been an artifice designed to sidestep the limits placed on the recognition of analogous grounds for the purposes of s. 15.</w:t>
      </w:r>
    </w:p>
  </w:footnote>
  <w:footnote w:id="51">
    <w:p w14:paraId="1C447D26" w14:textId="29A3369B" w:rsidR="00823EBE" w:rsidRPr="00823EBE" w:rsidRDefault="00823EBE">
      <w:pPr>
        <w:pStyle w:val="FootnoteText"/>
        <w:rPr>
          <w:lang w:val="en-US"/>
        </w:rPr>
      </w:pPr>
      <w:r>
        <w:rPr>
          <w:rStyle w:val="FootnoteReference"/>
        </w:rPr>
        <w:footnoteRef/>
      </w:r>
      <w:r>
        <w:t xml:space="preserve"> </w:t>
      </w:r>
      <w:r w:rsidRPr="00F41FC9">
        <w:rPr>
          <w:i/>
          <w:iCs/>
        </w:rPr>
        <w:t>Dunmore</w:t>
      </w:r>
      <w:r>
        <w:t xml:space="preserve">, </w:t>
      </w:r>
      <w:r>
        <w:rPr>
          <w:i/>
          <w:iCs/>
        </w:rPr>
        <w:t xml:space="preserve">supra </w:t>
      </w:r>
      <w:r>
        <w:t xml:space="preserve">note </w:t>
      </w:r>
      <w:r>
        <w:fldChar w:fldCharType="begin"/>
      </w:r>
      <w:r>
        <w:instrText xml:space="preserve"> NOTEREF _Ref178518964 \h </w:instrText>
      </w:r>
      <w:r>
        <w:fldChar w:fldCharType="separate"/>
      </w:r>
      <w:r w:rsidR="0058649B">
        <w:t>30</w:t>
      </w:r>
      <w:r>
        <w:fldChar w:fldCharType="end"/>
      </w:r>
      <w:r>
        <w:t>.</w:t>
      </w:r>
    </w:p>
  </w:footnote>
  <w:footnote w:id="52">
    <w:p w14:paraId="69D17791" w14:textId="3F71505C" w:rsidR="00480F37" w:rsidRPr="00480F37" w:rsidRDefault="00480F37">
      <w:pPr>
        <w:pStyle w:val="FootnoteText"/>
        <w:rPr>
          <w:lang w:val="en-US"/>
        </w:rPr>
      </w:pPr>
      <w:r>
        <w:rPr>
          <w:rStyle w:val="FootnoteReference"/>
        </w:rPr>
        <w:footnoteRef/>
      </w:r>
      <w:r w:rsidR="007B63F6">
        <w:t xml:space="preserve"> </w:t>
      </w:r>
      <w:r w:rsidRPr="00480F37">
        <w:t>1995, SO 1995, c 1, Schedule A</w:t>
      </w:r>
      <w:r w:rsidR="00F47A40">
        <w:t>.</w:t>
      </w:r>
    </w:p>
  </w:footnote>
  <w:footnote w:id="53">
    <w:p w14:paraId="51731B1D" w14:textId="72C66999" w:rsidR="00387CDC" w:rsidRDefault="00387CDC">
      <w:pPr>
        <w:pStyle w:val="FootnoteText"/>
      </w:pPr>
      <w:r>
        <w:rPr>
          <w:rStyle w:val="FootnoteReference"/>
        </w:rPr>
        <w:footnoteRef/>
      </w:r>
      <w:r>
        <w:t xml:space="preserve"> </w:t>
      </w:r>
      <w:r w:rsidR="00776762" w:rsidRPr="000D3ACE">
        <w:rPr>
          <w:i/>
          <w:iCs/>
        </w:rPr>
        <w:t>Toronto (City of) v Ontario (</w:t>
      </w:r>
      <w:r w:rsidR="002A6E83" w:rsidRPr="000D3ACE">
        <w:rPr>
          <w:i/>
          <w:iCs/>
        </w:rPr>
        <w:t>AG</w:t>
      </w:r>
      <w:r w:rsidR="00776762" w:rsidRPr="000D3ACE">
        <w:rPr>
          <w:i/>
          <w:iCs/>
        </w:rPr>
        <w:t>)</w:t>
      </w:r>
      <w:r w:rsidR="00776762" w:rsidRPr="00776762">
        <w:t>, 2021 SCC 34</w:t>
      </w:r>
      <w:r w:rsidR="00D0334A">
        <w:t xml:space="preserve"> [</w:t>
      </w:r>
      <w:r w:rsidR="007E1BE7">
        <w:rPr>
          <w:i/>
          <w:iCs/>
        </w:rPr>
        <w:t>Toronto</w:t>
      </w:r>
      <w:r w:rsidR="00D0334A">
        <w:t>]</w:t>
      </w:r>
      <w:r w:rsidR="009A3356">
        <w:t>.</w:t>
      </w:r>
    </w:p>
  </w:footnote>
  <w:footnote w:id="54">
    <w:p w14:paraId="6F84E0D4" w14:textId="35AC4E0C" w:rsidR="00F11768" w:rsidRDefault="00F11768">
      <w:pPr>
        <w:pStyle w:val="FootnoteText"/>
      </w:pPr>
      <w:r w:rsidRPr="007C243E">
        <w:rPr>
          <w:rStyle w:val="FootnoteReference"/>
        </w:rPr>
        <w:footnoteRef/>
      </w:r>
      <w:r w:rsidRPr="007C243E">
        <w:t xml:space="preserve"> </w:t>
      </w:r>
      <w:r w:rsidR="00444521">
        <w:t xml:space="preserve"> The positive promotional acts of the state in labour law are large </w:t>
      </w:r>
      <w:r w:rsidR="009B43EA" w:rsidRPr="00366C05">
        <w:rPr>
          <w:szCs w:val="24"/>
        </w:rPr>
        <w:t>—</w:t>
      </w:r>
      <w:r w:rsidR="00444521">
        <w:t xml:space="preserve"> creation of labour relations boards, provision of conciliation services, maintaining a list of </w:t>
      </w:r>
      <w:r w:rsidR="001E31A4">
        <w:t>arbitrators</w:t>
      </w:r>
      <w:r w:rsidR="00444521">
        <w:t xml:space="preserve">, and on and on. </w:t>
      </w:r>
    </w:p>
  </w:footnote>
  <w:footnote w:id="55">
    <w:p w14:paraId="4A6DB4BD" w14:textId="7A8E7980" w:rsidR="00137FE3" w:rsidRPr="008A6D04" w:rsidRDefault="00137FE3">
      <w:pPr>
        <w:pStyle w:val="FootnoteText"/>
      </w:pPr>
      <w:r>
        <w:rPr>
          <w:rStyle w:val="FootnoteReference"/>
        </w:rPr>
        <w:footnoteRef/>
      </w:r>
      <w:r>
        <w:t xml:space="preserve"> </w:t>
      </w:r>
      <w:r w:rsidR="00391701">
        <w:t xml:space="preserve">See </w:t>
      </w:r>
      <w:r w:rsidR="001D0C74" w:rsidRPr="00F91DA2">
        <w:t>Langille,</w:t>
      </w:r>
      <w:r w:rsidR="001D0C74">
        <w:t xml:space="preserve"> </w:t>
      </w:r>
      <w:r w:rsidR="001D0C74" w:rsidRPr="00F91DA2">
        <w:t>“Right-Freedom Distinction”</w:t>
      </w:r>
      <w:r w:rsidR="001D0C74">
        <w:t xml:space="preserve">, </w:t>
      </w:r>
      <w:r w:rsidR="001D0C74">
        <w:rPr>
          <w:i/>
          <w:iCs/>
        </w:rPr>
        <w:t xml:space="preserve">supra </w:t>
      </w:r>
      <w:r w:rsidR="001D0C74">
        <w:t xml:space="preserve">note </w:t>
      </w:r>
      <w:r w:rsidR="001D0C74">
        <w:fldChar w:fldCharType="begin"/>
      </w:r>
      <w:r w:rsidR="001D0C74">
        <w:instrText xml:space="preserve"> NOTEREF _Ref178936886 \h </w:instrText>
      </w:r>
      <w:r w:rsidR="001D0C74">
        <w:fldChar w:fldCharType="separate"/>
      </w:r>
      <w:r w:rsidR="0058649B">
        <w:t>5</w:t>
      </w:r>
      <w:r w:rsidR="001D0C74">
        <w:fldChar w:fldCharType="end"/>
      </w:r>
      <w:r w:rsidR="00B66CF7">
        <w:t xml:space="preserve">; </w:t>
      </w:r>
      <w:r w:rsidR="00B66CF7">
        <w:rPr>
          <w:szCs w:val="24"/>
        </w:rPr>
        <w:t>Langille, “</w:t>
      </w:r>
      <w:r w:rsidR="00B66CF7">
        <w:t>Trilogy</w:t>
      </w:r>
      <w:r w:rsidR="00B66CF7">
        <w:rPr>
          <w:szCs w:val="24"/>
        </w:rPr>
        <w:t>”</w:t>
      </w:r>
      <w:r w:rsidR="00131D6C">
        <w:rPr>
          <w:szCs w:val="24"/>
        </w:rPr>
        <w:t>,</w:t>
      </w:r>
      <w:r w:rsidR="00B66CF7" w:rsidRPr="00E95113">
        <w:rPr>
          <w:i/>
          <w:iCs/>
        </w:rPr>
        <w:t xml:space="preserve"> </w:t>
      </w:r>
      <w:r w:rsidR="00B66CF7">
        <w:rPr>
          <w:i/>
          <w:iCs/>
        </w:rPr>
        <w:t xml:space="preserve">supra </w:t>
      </w:r>
      <w:r w:rsidR="00B66CF7">
        <w:t xml:space="preserve">note </w:t>
      </w:r>
      <w:r w:rsidR="00B66CF7">
        <w:fldChar w:fldCharType="begin"/>
      </w:r>
      <w:r w:rsidR="00B66CF7">
        <w:instrText xml:space="preserve"> NOTEREF _Ref178273468 \h </w:instrText>
      </w:r>
      <w:r w:rsidR="00B66CF7">
        <w:fldChar w:fldCharType="separate"/>
      </w:r>
      <w:r w:rsidR="0058649B">
        <w:t>26</w:t>
      </w:r>
      <w:r w:rsidR="00B66CF7">
        <w:fldChar w:fldCharType="end"/>
      </w:r>
      <w:r w:rsidR="00B66CF7">
        <w:t xml:space="preserve"> at 293</w:t>
      </w:r>
      <w:r w:rsidR="00B66CF7" w:rsidRPr="00366C05">
        <w:rPr>
          <w:szCs w:val="24"/>
        </w:rPr>
        <w:t>—</w:t>
      </w:r>
      <w:r w:rsidR="00B66CF7">
        <w:rPr>
          <w:szCs w:val="24"/>
        </w:rPr>
        <w:t>97.</w:t>
      </w:r>
    </w:p>
  </w:footnote>
  <w:footnote w:id="56">
    <w:p w14:paraId="75EFD4E5" w14:textId="346F0995" w:rsidR="008471D4" w:rsidRDefault="008471D4">
      <w:pPr>
        <w:pStyle w:val="FootnoteText"/>
      </w:pPr>
      <w:r>
        <w:rPr>
          <w:rStyle w:val="FootnoteReference"/>
        </w:rPr>
        <w:footnoteRef/>
      </w:r>
      <w:r>
        <w:t xml:space="preserve"> </w:t>
      </w:r>
      <w:r w:rsidRPr="008471D4">
        <w:t>An aside</w:t>
      </w:r>
      <w:r w:rsidR="003E1B59">
        <w:t xml:space="preserve">. I think the intuition in </w:t>
      </w:r>
      <w:r w:rsidR="006131AE" w:rsidRPr="00F41FC9">
        <w:rPr>
          <w:i/>
          <w:iCs/>
        </w:rPr>
        <w:t>Dunmore</w:t>
      </w:r>
      <w:r w:rsidR="006131AE">
        <w:t xml:space="preserve">, </w:t>
      </w:r>
      <w:r w:rsidR="006131AE">
        <w:rPr>
          <w:i/>
          <w:iCs/>
        </w:rPr>
        <w:t xml:space="preserve">supra </w:t>
      </w:r>
      <w:r w:rsidR="006131AE">
        <w:t xml:space="preserve">note </w:t>
      </w:r>
      <w:r w:rsidR="006131AE">
        <w:fldChar w:fldCharType="begin"/>
      </w:r>
      <w:r w:rsidR="006131AE">
        <w:instrText xml:space="preserve"> NOTEREF _Ref178518964 \h </w:instrText>
      </w:r>
      <w:r w:rsidR="006131AE">
        <w:fldChar w:fldCharType="separate"/>
      </w:r>
      <w:r w:rsidR="0058649B">
        <w:t>30</w:t>
      </w:r>
      <w:r w:rsidR="006131AE">
        <w:fldChar w:fldCharType="end"/>
      </w:r>
      <w:r w:rsidR="00144945">
        <w:t xml:space="preserve"> </w:t>
      </w:r>
      <w:r w:rsidR="003E1B59">
        <w:t xml:space="preserve">(“substantial” interference) and </w:t>
      </w:r>
      <w:r w:rsidR="00144945" w:rsidRPr="00360A30">
        <w:rPr>
          <w:i/>
          <w:iCs/>
          <w:szCs w:val="24"/>
        </w:rPr>
        <w:t>Fraser</w:t>
      </w:r>
      <w:r w:rsidR="00144945">
        <w:rPr>
          <w:szCs w:val="24"/>
        </w:rPr>
        <w:t xml:space="preserve">, </w:t>
      </w:r>
      <w:r w:rsidR="00144945">
        <w:rPr>
          <w:i/>
          <w:iCs/>
          <w:szCs w:val="24"/>
        </w:rPr>
        <w:t xml:space="preserve">supra </w:t>
      </w:r>
      <w:r w:rsidR="00144945">
        <w:rPr>
          <w:szCs w:val="24"/>
        </w:rPr>
        <w:t xml:space="preserve">note </w:t>
      </w:r>
      <w:r w:rsidR="00144945">
        <w:rPr>
          <w:szCs w:val="24"/>
        </w:rPr>
        <w:fldChar w:fldCharType="begin"/>
      </w:r>
      <w:r w:rsidR="00144945">
        <w:rPr>
          <w:szCs w:val="24"/>
        </w:rPr>
        <w:instrText xml:space="preserve"> NOTEREF _Ref178265437 \h </w:instrText>
      </w:r>
      <w:r w:rsidR="00144945">
        <w:rPr>
          <w:szCs w:val="24"/>
        </w:rPr>
      </w:r>
      <w:r w:rsidR="00144945">
        <w:rPr>
          <w:szCs w:val="24"/>
        </w:rPr>
        <w:fldChar w:fldCharType="separate"/>
      </w:r>
      <w:r w:rsidR="0058649B">
        <w:rPr>
          <w:szCs w:val="24"/>
        </w:rPr>
        <w:t>28</w:t>
      </w:r>
      <w:r w:rsidR="00144945">
        <w:rPr>
          <w:szCs w:val="24"/>
        </w:rPr>
        <w:fldChar w:fldCharType="end"/>
      </w:r>
      <w:r w:rsidR="00144945">
        <w:t xml:space="preserve"> </w:t>
      </w:r>
      <w:r w:rsidR="003E1B59">
        <w:t xml:space="preserve">(“impossibility”) comes from the insight that </w:t>
      </w:r>
      <w:r w:rsidR="00526128">
        <w:t xml:space="preserve">while </w:t>
      </w:r>
      <w:r w:rsidR="003E1B59">
        <w:t xml:space="preserve">the state can always de jure take away the freedom of </w:t>
      </w:r>
      <w:r w:rsidR="00EF5610">
        <w:t>agricultural</w:t>
      </w:r>
      <w:r w:rsidR="003E1B59">
        <w:t xml:space="preserve"> workers</w:t>
      </w:r>
      <w:r w:rsidR="00EF5610">
        <w:t xml:space="preserve"> </w:t>
      </w:r>
      <w:r w:rsidR="00EF5610" w:rsidRPr="00366C05">
        <w:rPr>
          <w:szCs w:val="24"/>
        </w:rPr>
        <w:t>—</w:t>
      </w:r>
      <w:r w:rsidR="003E1B59">
        <w:t xml:space="preserve"> private actors can only do so de facto through private economic power. The </w:t>
      </w:r>
      <w:r w:rsidR="00507596">
        <w:t xml:space="preserve">question </w:t>
      </w:r>
      <w:r w:rsidR="003E1B59">
        <w:t>is</w:t>
      </w:r>
      <w:r w:rsidR="00507596">
        <w:t>:</w:t>
      </w:r>
      <w:r w:rsidR="003E1B59">
        <w:t xml:space="preserve"> when does private power approximate the absolute power of the state</w:t>
      </w:r>
      <w:r w:rsidR="00507596">
        <w:t>?</w:t>
      </w:r>
      <w:r w:rsidR="003E1B59">
        <w:t xml:space="preserve"> Perhaps, and I think this is the intu</w:t>
      </w:r>
      <w:r w:rsidR="00760AF9">
        <w:t>i</w:t>
      </w:r>
      <w:r w:rsidR="003E1B59">
        <w:t>tion</w:t>
      </w:r>
      <w:r w:rsidR="00246ABC">
        <w:t xml:space="preserve"> it</w:t>
      </w:r>
      <w:r w:rsidR="00760AF9">
        <w:t xml:space="preserve"> was </w:t>
      </w:r>
      <w:r w:rsidR="00EF5610">
        <w:t>acting</w:t>
      </w:r>
      <w:r w:rsidR="00760AF9">
        <w:t xml:space="preserve"> upon,</w:t>
      </w:r>
      <w:r w:rsidR="003E1B59">
        <w:t xml:space="preserve"> when that power can do what the state can do </w:t>
      </w:r>
      <w:r w:rsidR="003F003B" w:rsidRPr="00366C05">
        <w:rPr>
          <w:szCs w:val="24"/>
        </w:rPr>
        <w:t>—</w:t>
      </w:r>
      <w:r w:rsidR="003E1B59">
        <w:t xml:space="preserve"> take </w:t>
      </w:r>
      <w:r w:rsidR="00EF5610">
        <w:t>away</w:t>
      </w:r>
      <w:r w:rsidR="003E1B59">
        <w:t xml:space="preserve"> the freedom </w:t>
      </w:r>
      <w:r w:rsidR="00EF5610" w:rsidRPr="00366C05">
        <w:rPr>
          <w:szCs w:val="24"/>
        </w:rPr>
        <w:t>—</w:t>
      </w:r>
      <w:r w:rsidR="003E1B59">
        <w:t xml:space="preserve"> </w:t>
      </w:r>
      <w:r w:rsidR="00EF5610">
        <w:t>i.e.</w:t>
      </w:r>
      <w:r w:rsidR="003E1B59">
        <w:t xml:space="preserve"> make it “impossible” to </w:t>
      </w:r>
      <w:r w:rsidR="00EF5610">
        <w:t>exercise</w:t>
      </w:r>
      <w:r w:rsidR="003E1B59">
        <w:t xml:space="preserve"> the freedom</w:t>
      </w:r>
      <w:r w:rsidR="00960FF9">
        <w:t>, s</w:t>
      </w:r>
      <w:r w:rsidR="003E1B59" w:rsidRPr="00A42E67">
        <w:t xml:space="preserve">ee </w:t>
      </w:r>
      <w:r w:rsidR="00D762FB" w:rsidRPr="00BA440B">
        <w:t xml:space="preserve">Langille &amp; Oliphant, </w:t>
      </w:r>
      <w:r w:rsidR="00D762FB">
        <w:rPr>
          <w:i/>
          <w:iCs/>
        </w:rPr>
        <w:t xml:space="preserve">supra </w:t>
      </w:r>
      <w:r w:rsidR="00D762FB">
        <w:t>no</w:t>
      </w:r>
      <w:r w:rsidR="00D762FB" w:rsidRPr="00526DBC">
        <w:t xml:space="preserve">te </w:t>
      </w:r>
      <w:r w:rsidR="00D762FB" w:rsidRPr="00526DBC">
        <w:fldChar w:fldCharType="begin"/>
      </w:r>
      <w:r w:rsidR="00D762FB" w:rsidRPr="00526DBC">
        <w:instrText xml:space="preserve"> NOTEREF _Ref178273468 \h </w:instrText>
      </w:r>
      <w:r w:rsidR="00526DBC">
        <w:instrText xml:space="preserve"> \* MERGEFORMAT </w:instrText>
      </w:r>
      <w:r w:rsidR="00D762FB" w:rsidRPr="00526DBC">
        <w:fldChar w:fldCharType="separate"/>
      </w:r>
      <w:r w:rsidR="0058649B">
        <w:t>26</w:t>
      </w:r>
      <w:r w:rsidR="00D762FB" w:rsidRPr="00526DBC">
        <w:fldChar w:fldCharType="end"/>
      </w:r>
      <w:r w:rsidR="00D762FB" w:rsidRPr="00526DBC">
        <w:t xml:space="preserve"> </w:t>
      </w:r>
      <w:bookmarkStart w:id="17" w:name="_Hlk178355414"/>
      <w:r w:rsidR="003E1B59" w:rsidRPr="00526DBC">
        <w:t>at</w:t>
      </w:r>
      <w:r w:rsidR="00507596" w:rsidRPr="00526DBC">
        <w:t xml:space="preserve"> 263</w:t>
      </w:r>
      <w:r w:rsidR="00EA7B6F" w:rsidRPr="00526DBC">
        <w:t>, 267</w:t>
      </w:r>
      <w:r w:rsidR="00EA7B6F" w:rsidRPr="00526DBC">
        <w:rPr>
          <w:szCs w:val="24"/>
        </w:rPr>
        <w:t>—68</w:t>
      </w:r>
      <w:r w:rsidR="008F0A69" w:rsidRPr="00526DBC">
        <w:rPr>
          <w:szCs w:val="24"/>
        </w:rPr>
        <w:t>, 291—92.</w:t>
      </w:r>
      <w:bookmarkEnd w:id="17"/>
      <w:r w:rsidR="003E1B59" w:rsidRPr="00526DBC">
        <w:t xml:space="preserve"> </w:t>
      </w:r>
      <w:r w:rsidR="00760AF9" w:rsidRPr="00526DBC">
        <w:t xml:space="preserve"> But</w:t>
      </w:r>
      <w:r w:rsidR="00760AF9">
        <w:t xml:space="preserve"> note that in </w:t>
      </w:r>
      <w:r w:rsidR="00262ECA">
        <w:rPr>
          <w:i/>
          <w:iCs/>
        </w:rPr>
        <w:t>C</w:t>
      </w:r>
      <w:r w:rsidR="00262ECA" w:rsidRPr="007A4305">
        <w:rPr>
          <w:i/>
          <w:iCs/>
        </w:rPr>
        <w:t>asinos du Québec</w:t>
      </w:r>
      <w:r w:rsidR="00262ECA">
        <w:t>,</w:t>
      </w:r>
      <w:r w:rsidR="00760AF9">
        <w:t xml:space="preserve"> we get not a </w:t>
      </w:r>
      <w:r w:rsidR="00EF5610">
        <w:t>single</w:t>
      </w:r>
      <w:r w:rsidR="00760AF9">
        <w:t xml:space="preserve"> word about the </w:t>
      </w:r>
      <w:r w:rsidR="00EF5610">
        <w:t>grudging (</w:t>
      </w:r>
      <w:r w:rsidR="00F5182A">
        <w:t xml:space="preserve">See </w:t>
      </w:r>
      <w:r w:rsidR="00E95F77" w:rsidRPr="005F1A72">
        <w:rPr>
          <w:i/>
          <w:iCs/>
        </w:rPr>
        <w:t>MPAO</w:t>
      </w:r>
      <w:r w:rsidR="00E95F77">
        <w:t xml:space="preserve">, </w:t>
      </w:r>
      <w:r w:rsidR="00E95F77">
        <w:rPr>
          <w:i/>
          <w:iCs/>
        </w:rPr>
        <w:t>supr</w:t>
      </w:r>
      <w:r w:rsidR="00E95F77" w:rsidRPr="00526DBC">
        <w:rPr>
          <w:i/>
          <w:iCs/>
        </w:rPr>
        <w:t xml:space="preserve">a </w:t>
      </w:r>
      <w:r w:rsidR="00E95F77" w:rsidRPr="00526DBC">
        <w:t xml:space="preserve">note </w:t>
      </w:r>
      <w:r w:rsidR="00E95F77" w:rsidRPr="00526DBC">
        <w:fldChar w:fldCharType="begin"/>
      </w:r>
      <w:r w:rsidR="00E95F77" w:rsidRPr="00526DBC">
        <w:instrText xml:space="preserve"> NOTEREF _Ref178273613 \h </w:instrText>
      </w:r>
      <w:r w:rsidR="00526DBC">
        <w:instrText xml:space="preserve"> \* MERGEFORMAT </w:instrText>
      </w:r>
      <w:r w:rsidR="00E95F77" w:rsidRPr="00526DBC">
        <w:fldChar w:fldCharType="separate"/>
      </w:r>
      <w:r w:rsidR="0058649B">
        <w:t>13</w:t>
      </w:r>
      <w:r w:rsidR="00E95F77" w:rsidRPr="00526DBC">
        <w:fldChar w:fldCharType="end"/>
      </w:r>
      <w:r w:rsidR="00E95F77" w:rsidRPr="00526DBC">
        <w:t xml:space="preserve"> </w:t>
      </w:r>
      <w:r w:rsidR="00716D18" w:rsidRPr="00526DBC">
        <w:t xml:space="preserve">at paras </w:t>
      </w:r>
      <w:r w:rsidR="002A30D3" w:rsidRPr="00526DBC">
        <w:t>73</w:t>
      </w:r>
      <w:r w:rsidR="00716D18" w:rsidRPr="00526DBC">
        <w:t>—</w:t>
      </w:r>
      <w:r w:rsidR="002A30D3" w:rsidRPr="00526DBC">
        <w:t>7</w:t>
      </w:r>
      <w:r w:rsidR="00716D18" w:rsidRPr="00526DBC">
        <w:t>7)</w:t>
      </w:r>
      <w:r w:rsidR="00760AF9" w:rsidRPr="00526DBC">
        <w:t xml:space="preserve"> </w:t>
      </w:r>
      <w:r w:rsidR="00EF5610" w:rsidRPr="00526DBC">
        <w:t>aband</w:t>
      </w:r>
      <w:r w:rsidR="00EF5610">
        <w:t>onment</w:t>
      </w:r>
      <w:r w:rsidR="00760AF9">
        <w:t xml:space="preserve"> of the “impossibility</w:t>
      </w:r>
      <w:r w:rsidR="005D367B">
        <w:t xml:space="preserve">” standard. This is rather remarkable in itself. Was the current court aware of this twist and </w:t>
      </w:r>
      <w:r w:rsidR="00EF5610">
        <w:t>turn?</w:t>
      </w:r>
    </w:p>
  </w:footnote>
  <w:footnote w:id="57">
    <w:p w14:paraId="497D4CC0" w14:textId="7517B83F" w:rsidR="00EC58E9" w:rsidRDefault="00EC58E9">
      <w:pPr>
        <w:pStyle w:val="FootnoteText"/>
      </w:pPr>
      <w:r>
        <w:rPr>
          <w:rStyle w:val="FootnoteReference"/>
        </w:rPr>
        <w:footnoteRef/>
      </w:r>
      <w:r>
        <w:t xml:space="preserve"> </w:t>
      </w:r>
      <w:r w:rsidR="005C54BD">
        <w:rPr>
          <w:i/>
          <w:iCs/>
          <w:szCs w:val="24"/>
        </w:rPr>
        <w:t>BC Health</w:t>
      </w:r>
      <w:r w:rsidR="005C54BD">
        <w:t xml:space="preserve">, </w:t>
      </w:r>
      <w:r w:rsidR="005C54BD">
        <w:rPr>
          <w:i/>
          <w:iCs/>
        </w:rPr>
        <w:t xml:space="preserve">supra </w:t>
      </w:r>
      <w:r w:rsidR="005C54BD">
        <w:t xml:space="preserve">note </w:t>
      </w:r>
      <w:r w:rsidR="005C54BD">
        <w:fldChar w:fldCharType="begin"/>
      </w:r>
      <w:r w:rsidR="005C54BD">
        <w:instrText xml:space="preserve"> NOTEREF _Ref178518964 \h </w:instrText>
      </w:r>
      <w:r w:rsidR="005C54BD">
        <w:fldChar w:fldCharType="separate"/>
      </w:r>
      <w:r w:rsidR="0058649B">
        <w:t>30</w:t>
      </w:r>
      <w:r w:rsidR="005C54BD">
        <w:fldChar w:fldCharType="end"/>
      </w:r>
      <w:r w:rsidR="005C54BD">
        <w:t>.</w:t>
      </w:r>
    </w:p>
  </w:footnote>
  <w:footnote w:id="58">
    <w:p w14:paraId="418DF387" w14:textId="22CF6B2D" w:rsidR="00100491" w:rsidRPr="00476F69" w:rsidRDefault="00100491">
      <w:pPr>
        <w:pStyle w:val="FootnoteText"/>
      </w:pPr>
      <w:r>
        <w:rPr>
          <w:rStyle w:val="FootnoteReference"/>
        </w:rPr>
        <w:footnoteRef/>
      </w:r>
      <w:r>
        <w:t xml:space="preserve">  I don’t have time to </w:t>
      </w:r>
      <w:r w:rsidR="00234811">
        <w:t>develop</w:t>
      </w:r>
      <w:r>
        <w:t xml:space="preserve"> this </w:t>
      </w:r>
      <w:r w:rsidR="00EF5610">
        <w:t>completely,</w:t>
      </w:r>
      <w:r>
        <w:t xml:space="preserve"> but it seems we have not fully appreciated what human rights lawyers have been saying for some time</w:t>
      </w:r>
      <w:r w:rsidR="0053470C">
        <w:t xml:space="preserve">. We need </w:t>
      </w:r>
      <w:r w:rsidR="00C94472">
        <w:t>three</w:t>
      </w:r>
      <w:r w:rsidR="0053470C">
        <w:t xml:space="preserve"> categories of cases to cover the sorts of cases </w:t>
      </w:r>
      <w:r w:rsidR="00234811">
        <w:t>we see</w:t>
      </w:r>
      <w:r w:rsidR="0096278B">
        <w:t xml:space="preserve">. </w:t>
      </w:r>
      <w:r w:rsidR="001E3A4A">
        <w:t xml:space="preserve">1. </w:t>
      </w:r>
      <w:r w:rsidR="00FA3038" w:rsidRPr="001E3A4A">
        <w:rPr>
          <w:b/>
          <w:bCs/>
        </w:rPr>
        <w:t xml:space="preserve">respect </w:t>
      </w:r>
      <w:r w:rsidR="001E3A4A" w:rsidRPr="00CD0FF5">
        <w:t>cases</w:t>
      </w:r>
      <w:r w:rsidR="001E3A4A">
        <w:rPr>
          <w:b/>
          <w:bCs/>
        </w:rPr>
        <w:t xml:space="preserve"> </w:t>
      </w:r>
      <w:r w:rsidR="00FA3038">
        <w:t>(</w:t>
      </w:r>
      <w:r w:rsidR="00F243EC">
        <w:t>state itself must respect the freedom</w:t>
      </w:r>
      <w:r w:rsidR="0045232E">
        <w:t>)</w:t>
      </w:r>
      <w:r w:rsidR="00F243EC">
        <w:t xml:space="preserve"> </w:t>
      </w:r>
      <w:r w:rsidR="006E655E" w:rsidRPr="00366C05">
        <w:rPr>
          <w:szCs w:val="24"/>
        </w:rPr>
        <w:t>—</w:t>
      </w:r>
      <w:r w:rsidR="00F243EC">
        <w:t xml:space="preserve"> these are</w:t>
      </w:r>
      <w:r w:rsidR="00234811">
        <w:t xml:space="preserve"> </w:t>
      </w:r>
      <w:r w:rsidR="00FA3038">
        <w:t xml:space="preserve">simple </w:t>
      </w:r>
      <w:r w:rsidR="008548EF" w:rsidRPr="0011499A">
        <w:rPr>
          <w:b/>
          <w:bCs/>
        </w:rPr>
        <w:t>negative</w:t>
      </w:r>
      <w:r w:rsidR="0011499A" w:rsidRPr="0011499A">
        <w:rPr>
          <w:b/>
          <w:bCs/>
        </w:rPr>
        <w:t>/</w:t>
      </w:r>
      <w:r w:rsidR="008548EF" w:rsidRPr="0011499A">
        <w:rPr>
          <w:b/>
          <w:bCs/>
        </w:rPr>
        <w:t>vertical</w:t>
      </w:r>
      <w:r w:rsidR="0045232E">
        <w:t xml:space="preserve"> </w:t>
      </w:r>
      <w:r w:rsidR="0011499A">
        <w:t xml:space="preserve">cases </w:t>
      </w:r>
      <w:r w:rsidR="00EF5610">
        <w:t>a</w:t>
      </w:r>
      <w:r w:rsidR="0011499A">
        <w:t xml:space="preserve">sking for </w:t>
      </w:r>
      <w:r w:rsidR="0045232E">
        <w:t>restriction</w:t>
      </w:r>
      <w:r w:rsidR="0011499A">
        <w:t>s</w:t>
      </w:r>
      <w:r w:rsidR="005A7415">
        <w:t xml:space="preserve"> on </w:t>
      </w:r>
      <w:r w:rsidR="00EF5610">
        <w:t>state interferences</w:t>
      </w:r>
      <w:r w:rsidR="00FA3038">
        <w:t xml:space="preserve"> as in </w:t>
      </w:r>
      <w:r w:rsidR="005C54BD">
        <w:rPr>
          <w:i/>
          <w:iCs/>
          <w:szCs w:val="24"/>
        </w:rPr>
        <w:t>BC Health</w:t>
      </w:r>
      <w:r w:rsidR="005C54BD">
        <w:t xml:space="preserve">, </w:t>
      </w:r>
      <w:r w:rsidR="005C54BD">
        <w:rPr>
          <w:i/>
          <w:iCs/>
        </w:rPr>
        <w:t xml:space="preserve">supra </w:t>
      </w:r>
      <w:r w:rsidR="005C54BD">
        <w:t xml:space="preserve">note </w:t>
      </w:r>
      <w:r w:rsidR="005C54BD">
        <w:fldChar w:fldCharType="begin"/>
      </w:r>
      <w:r w:rsidR="005C54BD">
        <w:instrText xml:space="preserve"> NOTEREF _Ref178518964 \h </w:instrText>
      </w:r>
      <w:r w:rsidR="005C54BD">
        <w:fldChar w:fldCharType="separate"/>
      </w:r>
      <w:r w:rsidR="0058649B">
        <w:t>30</w:t>
      </w:r>
      <w:r w:rsidR="005C54BD">
        <w:fldChar w:fldCharType="end"/>
      </w:r>
      <w:r w:rsidR="006F10B1">
        <w:t>,</w:t>
      </w:r>
      <w:r w:rsidR="00234811">
        <w:t xml:space="preserve"> or our currently fashionable </w:t>
      </w:r>
      <w:r w:rsidR="00FA3038">
        <w:t>back to work laws</w:t>
      </w:r>
      <w:r w:rsidR="0011499A">
        <w:t>.)</w:t>
      </w:r>
      <w:r w:rsidR="0096278B">
        <w:t xml:space="preserve"> </w:t>
      </w:r>
      <w:r w:rsidR="00CD0FF5">
        <w:t xml:space="preserve">2. </w:t>
      </w:r>
      <w:r w:rsidR="00F243EC">
        <w:t xml:space="preserve"> </w:t>
      </w:r>
      <w:r w:rsidR="00F243EC" w:rsidRPr="001E3A4A">
        <w:rPr>
          <w:b/>
          <w:bCs/>
        </w:rPr>
        <w:t>protect</w:t>
      </w:r>
      <w:r w:rsidR="001E3A4A">
        <w:t xml:space="preserve"> </w:t>
      </w:r>
      <w:r w:rsidR="00EF5610">
        <w:t>cases —</w:t>
      </w:r>
      <w:r w:rsidR="00554FAD">
        <w:rPr>
          <w:szCs w:val="24"/>
        </w:rPr>
        <w:t xml:space="preserve"> </w:t>
      </w:r>
      <w:r w:rsidR="00101D8A" w:rsidRPr="008548EF">
        <w:rPr>
          <w:b/>
          <w:bCs/>
        </w:rPr>
        <w:t>positive</w:t>
      </w:r>
      <w:r w:rsidR="0011499A">
        <w:rPr>
          <w:b/>
          <w:bCs/>
        </w:rPr>
        <w:t>/d</w:t>
      </w:r>
      <w:r w:rsidR="00F243EC" w:rsidRPr="008548EF">
        <w:rPr>
          <w:b/>
          <w:bCs/>
        </w:rPr>
        <w:t xml:space="preserve">iagonal </w:t>
      </w:r>
      <w:r w:rsidR="00F243EC">
        <w:t>application to private act</w:t>
      </w:r>
      <w:r w:rsidR="001E3A4A">
        <w:t xml:space="preserve">ors </w:t>
      </w:r>
      <w:r w:rsidR="006E655E" w:rsidRPr="00366C05">
        <w:rPr>
          <w:szCs w:val="24"/>
        </w:rPr>
        <w:t>—</w:t>
      </w:r>
      <w:r w:rsidR="001E3A4A">
        <w:t xml:space="preserve"> i</w:t>
      </w:r>
      <w:r w:rsidR="006E655E">
        <w:t>.</w:t>
      </w:r>
      <w:r w:rsidR="001E3A4A">
        <w:t>e</w:t>
      </w:r>
      <w:r w:rsidR="006E655E">
        <w:t>.</w:t>
      </w:r>
      <w:r w:rsidR="001E3A4A">
        <w:t xml:space="preserve"> not only must the state respect and not </w:t>
      </w:r>
      <w:r w:rsidR="005645CF">
        <w:t xml:space="preserve">itself </w:t>
      </w:r>
      <w:r w:rsidR="001E3A4A">
        <w:t>interfere with the freedom it must also, in some cases</w:t>
      </w:r>
      <w:r w:rsidR="00BB2202">
        <w:t>,</w:t>
      </w:r>
      <w:r w:rsidR="001E3A4A">
        <w:t xml:space="preserve"> protect it from interference by private actors</w:t>
      </w:r>
      <w:r w:rsidR="00F8335C">
        <w:t xml:space="preserve"> </w:t>
      </w:r>
      <w:r w:rsidR="00E81F5D">
        <w:t>(</w:t>
      </w:r>
      <w:r w:rsidR="00294BF6">
        <w:t xml:space="preserve">using their common </w:t>
      </w:r>
      <w:r w:rsidR="00E81F5D">
        <w:t xml:space="preserve">law </w:t>
      </w:r>
      <w:r w:rsidR="00EA6E29">
        <w:t>entitlements</w:t>
      </w:r>
      <w:r w:rsidR="00E81F5D">
        <w:t>)</w:t>
      </w:r>
      <w:r w:rsidR="00EA6E29">
        <w:t xml:space="preserve"> </w:t>
      </w:r>
      <w:r w:rsidR="00F8335C">
        <w:t>and alter the common law to do so</w:t>
      </w:r>
      <w:r w:rsidR="0085115B">
        <w:t xml:space="preserve">. This is really what happened in </w:t>
      </w:r>
      <w:r w:rsidR="006131AE" w:rsidRPr="00F41FC9">
        <w:rPr>
          <w:i/>
          <w:iCs/>
        </w:rPr>
        <w:t>Dunmore</w:t>
      </w:r>
      <w:r w:rsidR="006131AE">
        <w:t xml:space="preserve">, </w:t>
      </w:r>
      <w:r w:rsidR="006131AE">
        <w:rPr>
          <w:i/>
          <w:iCs/>
        </w:rPr>
        <w:t xml:space="preserve">supra </w:t>
      </w:r>
      <w:r w:rsidR="006131AE">
        <w:t xml:space="preserve">note </w:t>
      </w:r>
      <w:r w:rsidR="006131AE">
        <w:fldChar w:fldCharType="begin"/>
      </w:r>
      <w:r w:rsidR="006131AE">
        <w:instrText xml:space="preserve"> NOTEREF _Ref178518964 \h </w:instrText>
      </w:r>
      <w:r w:rsidR="006131AE">
        <w:fldChar w:fldCharType="separate"/>
      </w:r>
      <w:r w:rsidR="0058649B">
        <w:t>30</w:t>
      </w:r>
      <w:r w:rsidR="006131AE">
        <w:fldChar w:fldCharType="end"/>
      </w:r>
      <w:r w:rsidR="005645CF">
        <w:t>.</w:t>
      </w:r>
      <w:r w:rsidR="00CD0FF5">
        <w:t xml:space="preserve"> 3. </w:t>
      </w:r>
      <w:r w:rsidR="00EF5610" w:rsidRPr="00C5267C">
        <w:rPr>
          <w:b/>
          <w:bCs/>
        </w:rPr>
        <w:t>Promote</w:t>
      </w:r>
      <w:r w:rsidR="00EF5610">
        <w:t xml:space="preserve"> —</w:t>
      </w:r>
      <w:r w:rsidR="008548EF">
        <w:t xml:space="preserve"> </w:t>
      </w:r>
      <w:r w:rsidR="006869AE" w:rsidRPr="008548EF">
        <w:rPr>
          <w:b/>
          <w:bCs/>
        </w:rPr>
        <w:t>po</w:t>
      </w:r>
      <w:r w:rsidR="00101D8A" w:rsidRPr="008548EF">
        <w:rPr>
          <w:b/>
          <w:bCs/>
        </w:rPr>
        <w:t>sitive</w:t>
      </w:r>
      <w:r w:rsidR="00BE774F">
        <w:rPr>
          <w:b/>
          <w:bCs/>
        </w:rPr>
        <w:t>/</w:t>
      </w:r>
      <w:r w:rsidR="006869AE" w:rsidRPr="008548EF">
        <w:rPr>
          <w:b/>
          <w:bCs/>
        </w:rPr>
        <w:t>vertical</w:t>
      </w:r>
      <w:r w:rsidR="00101D8A">
        <w:t xml:space="preserve"> </w:t>
      </w:r>
      <w:r w:rsidR="00BE774F">
        <w:t xml:space="preserve">cases seeking </w:t>
      </w:r>
      <w:r w:rsidR="00EF5610">
        <w:t>obligations</w:t>
      </w:r>
      <w:r w:rsidR="00101D8A">
        <w:t xml:space="preserve"> on the state itself to promote the freedom</w:t>
      </w:r>
      <w:r w:rsidR="00C5267C">
        <w:t xml:space="preserve"> </w:t>
      </w:r>
      <w:r w:rsidR="007E147A" w:rsidRPr="00366C05">
        <w:rPr>
          <w:szCs w:val="24"/>
        </w:rPr>
        <w:t>—</w:t>
      </w:r>
      <w:r w:rsidR="00C5267C">
        <w:t xml:space="preserve"> as discussed in the freedom of expression context in</w:t>
      </w:r>
      <w:r w:rsidR="00126AB1" w:rsidRPr="00126AB1">
        <w:rPr>
          <w:i/>
          <w:iCs/>
        </w:rPr>
        <w:t xml:space="preserve"> </w:t>
      </w:r>
      <w:r w:rsidR="00126AB1">
        <w:rPr>
          <w:i/>
          <w:iCs/>
        </w:rPr>
        <w:t>Toronto</w:t>
      </w:r>
      <w:r w:rsidR="00126AB1">
        <w:t xml:space="preserve">, </w:t>
      </w:r>
      <w:r w:rsidR="00126AB1">
        <w:rPr>
          <w:i/>
          <w:iCs/>
        </w:rPr>
        <w:t xml:space="preserve">supra </w:t>
      </w:r>
      <w:r w:rsidR="00126AB1">
        <w:t xml:space="preserve">note </w:t>
      </w:r>
      <w:r w:rsidR="00072A8F">
        <w:fldChar w:fldCharType="begin"/>
      </w:r>
      <w:r w:rsidR="00072A8F">
        <w:instrText xml:space="preserve"> NOTEREF _Ref178274662 \h </w:instrText>
      </w:r>
      <w:r w:rsidR="00072A8F">
        <w:fldChar w:fldCharType="separate"/>
      </w:r>
      <w:r w:rsidR="0058649B">
        <w:t>64</w:t>
      </w:r>
      <w:r w:rsidR="00072A8F">
        <w:fldChar w:fldCharType="end"/>
      </w:r>
      <w:r w:rsidR="00C5267C" w:rsidRPr="00C5267C">
        <w:rPr>
          <w:i/>
          <w:iCs/>
        </w:rPr>
        <w:t>.</w:t>
      </w:r>
      <w:r w:rsidR="00476F69">
        <w:t xml:space="preserve"> </w:t>
      </w:r>
      <w:r w:rsidR="002D2499">
        <w:t>For more discussion, s</w:t>
      </w:r>
      <w:r w:rsidR="00476F69">
        <w:t xml:space="preserve">ee </w:t>
      </w:r>
      <w:r w:rsidR="001D0C74" w:rsidRPr="00F91DA2">
        <w:t>Langille,</w:t>
      </w:r>
      <w:r w:rsidR="001D0C74">
        <w:t xml:space="preserve"> </w:t>
      </w:r>
      <w:r w:rsidR="001D0C74" w:rsidRPr="00F91DA2">
        <w:t>“Right-Freedom Distinction”</w:t>
      </w:r>
      <w:r w:rsidR="001D0C74">
        <w:t xml:space="preserve">, </w:t>
      </w:r>
      <w:r w:rsidR="001D0C74">
        <w:rPr>
          <w:i/>
          <w:iCs/>
        </w:rPr>
        <w:t xml:space="preserve">supra </w:t>
      </w:r>
      <w:r w:rsidR="001D0C74">
        <w:t xml:space="preserve">note </w:t>
      </w:r>
      <w:r w:rsidR="001D0C74">
        <w:fldChar w:fldCharType="begin"/>
      </w:r>
      <w:r w:rsidR="001D0C74">
        <w:instrText xml:space="preserve"> NOTEREF _Ref178936886 \h </w:instrText>
      </w:r>
      <w:r w:rsidR="001D0C74">
        <w:fldChar w:fldCharType="separate"/>
      </w:r>
      <w:r w:rsidR="0058649B">
        <w:t>5</w:t>
      </w:r>
      <w:r w:rsidR="001D0C74">
        <w:fldChar w:fldCharType="end"/>
      </w:r>
      <w:r w:rsidR="001D0C74">
        <w:t xml:space="preserve"> </w:t>
      </w:r>
      <w:r w:rsidR="002D2499">
        <w:t>at 158, n 40.</w:t>
      </w:r>
    </w:p>
  </w:footnote>
  <w:footnote w:id="59">
    <w:p w14:paraId="37F9B757" w14:textId="0DB1572D" w:rsidR="00350958" w:rsidRPr="00350958" w:rsidRDefault="00350958">
      <w:pPr>
        <w:pStyle w:val="FootnoteText"/>
        <w:rPr>
          <w:lang w:val="en-US"/>
        </w:rPr>
      </w:pPr>
      <w:r>
        <w:rPr>
          <w:rStyle w:val="FootnoteReference"/>
        </w:rPr>
        <w:footnoteRef/>
      </w:r>
      <w:r>
        <w:t xml:space="preserve"> </w:t>
      </w:r>
      <w:r w:rsidRPr="00F41FC9">
        <w:rPr>
          <w:i/>
          <w:iCs/>
        </w:rPr>
        <w:t>Dunmore</w:t>
      </w:r>
      <w:r>
        <w:t xml:space="preserve">, </w:t>
      </w:r>
      <w:r>
        <w:rPr>
          <w:i/>
          <w:iCs/>
        </w:rPr>
        <w:t xml:space="preserve">supra </w:t>
      </w:r>
      <w:r>
        <w:t xml:space="preserve">note </w:t>
      </w:r>
      <w:r>
        <w:fldChar w:fldCharType="begin"/>
      </w:r>
      <w:r>
        <w:instrText xml:space="preserve"> NOTEREF _Ref178518964 \h </w:instrText>
      </w:r>
      <w:r>
        <w:fldChar w:fldCharType="separate"/>
      </w:r>
      <w:r w:rsidR="0058649B">
        <w:t>30</w:t>
      </w:r>
      <w:r>
        <w:fldChar w:fldCharType="end"/>
      </w:r>
      <w:r>
        <w:t>.</w:t>
      </w:r>
    </w:p>
  </w:footnote>
  <w:footnote w:id="60">
    <w:p w14:paraId="31DE5C6E" w14:textId="66FFF69D" w:rsidR="00286802" w:rsidRPr="00286802" w:rsidRDefault="00286802">
      <w:pPr>
        <w:pStyle w:val="FootnoteText"/>
        <w:rPr>
          <w:lang w:val="en-US"/>
        </w:rPr>
      </w:pPr>
      <w:r>
        <w:rPr>
          <w:rStyle w:val="FootnoteReference"/>
        </w:rPr>
        <w:footnoteRef/>
      </w:r>
      <w:r>
        <w:t xml:space="preserve"> </w:t>
      </w:r>
      <w:r w:rsidR="00383195" w:rsidRPr="00F41FC9">
        <w:rPr>
          <w:i/>
          <w:iCs/>
        </w:rPr>
        <w:t>Dunmore</w:t>
      </w:r>
      <w:r w:rsidR="00383195">
        <w:t xml:space="preserve">, </w:t>
      </w:r>
      <w:r w:rsidR="00383195">
        <w:rPr>
          <w:i/>
          <w:iCs/>
        </w:rPr>
        <w:t xml:space="preserve">supra </w:t>
      </w:r>
      <w:r w:rsidR="00383195">
        <w:t xml:space="preserve">note </w:t>
      </w:r>
      <w:r w:rsidR="00383195">
        <w:fldChar w:fldCharType="begin"/>
      </w:r>
      <w:r w:rsidR="00383195">
        <w:instrText xml:space="preserve"> NOTEREF _Ref178518964 \h </w:instrText>
      </w:r>
      <w:r w:rsidR="00383195">
        <w:fldChar w:fldCharType="separate"/>
      </w:r>
      <w:r w:rsidR="0058649B">
        <w:t>30</w:t>
      </w:r>
      <w:r w:rsidR="00383195">
        <w:fldChar w:fldCharType="end"/>
      </w:r>
      <w:r w:rsidR="00383195">
        <w:t>.</w:t>
      </w:r>
    </w:p>
  </w:footnote>
  <w:footnote w:id="61">
    <w:p w14:paraId="368C037E" w14:textId="5C76E369" w:rsidR="00037C0D" w:rsidRPr="00037C0D" w:rsidRDefault="00037C0D">
      <w:pPr>
        <w:pStyle w:val="FootnoteText"/>
      </w:pPr>
      <w:r>
        <w:rPr>
          <w:rStyle w:val="FootnoteReference"/>
        </w:rPr>
        <w:footnoteRef/>
      </w:r>
      <w:r w:rsidRPr="00037C0D">
        <w:t xml:space="preserve"> </w:t>
      </w:r>
      <w:r w:rsidR="00960FF9">
        <w:t xml:space="preserve">See </w:t>
      </w:r>
      <w:r w:rsidR="001D0C74" w:rsidRPr="00F91DA2">
        <w:t>Langille,</w:t>
      </w:r>
      <w:r w:rsidR="001D0C74">
        <w:t xml:space="preserve"> </w:t>
      </w:r>
      <w:r w:rsidR="001D0C74" w:rsidRPr="00F91DA2">
        <w:t>“Right-Freedom Distinction”</w:t>
      </w:r>
      <w:r w:rsidR="001D0C74">
        <w:t xml:space="preserve">, </w:t>
      </w:r>
      <w:r w:rsidR="001D0C74">
        <w:rPr>
          <w:i/>
          <w:iCs/>
        </w:rPr>
        <w:t xml:space="preserve">supra </w:t>
      </w:r>
      <w:r w:rsidR="001D0C74">
        <w:t xml:space="preserve">note </w:t>
      </w:r>
      <w:r w:rsidR="001D0C74">
        <w:fldChar w:fldCharType="begin"/>
      </w:r>
      <w:r w:rsidR="001D0C74">
        <w:instrText xml:space="preserve"> NOTEREF _Ref178936886 \h </w:instrText>
      </w:r>
      <w:r w:rsidR="001D0C74">
        <w:fldChar w:fldCharType="separate"/>
      </w:r>
      <w:r w:rsidR="0058649B">
        <w:t>5</w:t>
      </w:r>
      <w:r w:rsidR="001D0C74">
        <w:fldChar w:fldCharType="end"/>
      </w:r>
      <w:r w:rsidR="001D0C74">
        <w:t xml:space="preserve"> </w:t>
      </w:r>
      <w:r w:rsidR="00E13A7B">
        <w:t xml:space="preserve">at </w:t>
      </w:r>
      <w:r w:rsidR="00F26B19">
        <w:t>156</w:t>
      </w:r>
      <w:r w:rsidR="00F26B19" w:rsidRPr="00366C05">
        <w:rPr>
          <w:szCs w:val="24"/>
        </w:rPr>
        <w:t>—</w:t>
      </w:r>
      <w:r w:rsidR="00F26B19">
        <w:rPr>
          <w:szCs w:val="24"/>
        </w:rPr>
        <w:t>63</w:t>
      </w:r>
      <w:r w:rsidR="00803758">
        <w:t xml:space="preserve">; </w:t>
      </w:r>
      <w:r w:rsidR="00803758">
        <w:rPr>
          <w:szCs w:val="24"/>
        </w:rPr>
        <w:t>Langille, “</w:t>
      </w:r>
      <w:r w:rsidR="00803758">
        <w:t>Trilogy</w:t>
      </w:r>
      <w:r w:rsidR="00803758">
        <w:rPr>
          <w:szCs w:val="24"/>
        </w:rPr>
        <w:t>”</w:t>
      </w:r>
      <w:r w:rsidR="0096278B">
        <w:rPr>
          <w:szCs w:val="24"/>
        </w:rPr>
        <w:t>,</w:t>
      </w:r>
      <w:r w:rsidR="00803758" w:rsidRPr="00E95113">
        <w:rPr>
          <w:i/>
          <w:iCs/>
        </w:rPr>
        <w:t xml:space="preserve"> </w:t>
      </w:r>
      <w:r w:rsidR="00803758">
        <w:rPr>
          <w:i/>
          <w:iCs/>
        </w:rPr>
        <w:t xml:space="preserve">supra </w:t>
      </w:r>
      <w:r w:rsidR="00803758">
        <w:t xml:space="preserve">note </w:t>
      </w:r>
      <w:r w:rsidR="00803758">
        <w:fldChar w:fldCharType="begin"/>
      </w:r>
      <w:r w:rsidR="00803758">
        <w:instrText xml:space="preserve"> NOTEREF _Ref178273468 \h </w:instrText>
      </w:r>
      <w:r w:rsidR="00803758">
        <w:fldChar w:fldCharType="separate"/>
      </w:r>
      <w:r w:rsidR="0058649B">
        <w:t>26</w:t>
      </w:r>
      <w:r w:rsidR="00803758">
        <w:fldChar w:fldCharType="end"/>
      </w:r>
      <w:r w:rsidR="00803758">
        <w:t xml:space="preserve"> at 293</w:t>
      </w:r>
      <w:r w:rsidR="00803758" w:rsidRPr="00366C05">
        <w:rPr>
          <w:szCs w:val="24"/>
        </w:rPr>
        <w:t>—</w:t>
      </w:r>
      <w:r w:rsidR="00803758">
        <w:rPr>
          <w:szCs w:val="24"/>
        </w:rPr>
        <w:t>96.</w:t>
      </w:r>
      <w:r w:rsidR="00070AFE">
        <w:t xml:space="preserve"> </w:t>
      </w:r>
      <w:r w:rsidR="00070AFE" w:rsidRPr="00070AFE">
        <w:t>The fact that the Court can calmly report, without any evaluation as to whether this is a good idea, that ss. 2(b) and 2(d) are, in light of prior cases, to be subject to different thresholds is alarming. We should take note — not just of the arbitrary distinction — but the Court’s indifference to its “evolution.”</w:t>
      </w:r>
    </w:p>
  </w:footnote>
  <w:footnote w:id="62">
    <w:p w14:paraId="37A1CE59" w14:textId="73565B07" w:rsidR="00BB6A45" w:rsidRDefault="00BB6A45">
      <w:pPr>
        <w:pStyle w:val="FootnoteText"/>
      </w:pPr>
      <w:r>
        <w:rPr>
          <w:rStyle w:val="FootnoteReference"/>
        </w:rPr>
        <w:footnoteRef/>
      </w:r>
      <w:r w:rsidRPr="007C243E">
        <w:t xml:space="preserve"> </w:t>
      </w:r>
      <w:r w:rsidR="00863D15">
        <w:rPr>
          <w:szCs w:val="24"/>
        </w:rPr>
        <w:t>Langille, “</w:t>
      </w:r>
      <w:r w:rsidR="00863D15">
        <w:t>Freedom of Association Mess</w:t>
      </w:r>
      <w:r w:rsidR="00863D15">
        <w:rPr>
          <w:szCs w:val="24"/>
        </w:rPr>
        <w:t xml:space="preserve">”, </w:t>
      </w:r>
      <w:r w:rsidR="00863D15" w:rsidRPr="00383D54">
        <w:rPr>
          <w:i/>
          <w:iCs/>
        </w:rPr>
        <w:t>supra</w:t>
      </w:r>
      <w:r w:rsidR="00863D15">
        <w:t xml:space="preserve"> note </w:t>
      </w:r>
      <w:r w:rsidR="00863D15">
        <w:fldChar w:fldCharType="begin"/>
      </w:r>
      <w:r w:rsidR="00863D15">
        <w:instrText xml:space="preserve"> NOTEREF _Ref178343407 \h </w:instrText>
      </w:r>
      <w:r w:rsidR="00863D15">
        <w:fldChar w:fldCharType="separate"/>
      </w:r>
      <w:r w:rsidR="0058649B">
        <w:t>3</w:t>
      </w:r>
      <w:r w:rsidR="00863D15">
        <w:fldChar w:fldCharType="end"/>
      </w:r>
      <w:r w:rsidR="00E13A7B">
        <w:t xml:space="preserve"> at </w:t>
      </w:r>
      <w:r w:rsidR="004F2B2F">
        <w:t>2</w:t>
      </w:r>
      <w:r w:rsidR="003E688C">
        <w:t>09</w:t>
      </w:r>
      <w:r w:rsidR="003E688C" w:rsidRPr="00366C05">
        <w:rPr>
          <w:szCs w:val="24"/>
        </w:rPr>
        <w:t>—</w:t>
      </w:r>
      <w:r w:rsidR="003E688C">
        <w:rPr>
          <w:szCs w:val="24"/>
        </w:rPr>
        <w:t>1</w:t>
      </w:r>
      <w:r w:rsidR="004F2B2F">
        <w:t>2</w:t>
      </w:r>
      <w:r w:rsidR="00863D15">
        <w:t>.</w:t>
      </w:r>
      <w:r w:rsidR="0022742B" w:rsidRPr="007C243E">
        <w:t xml:space="preserve"> </w:t>
      </w:r>
      <w:r w:rsidR="0022742B">
        <w:t xml:space="preserve">See also </w:t>
      </w:r>
      <w:r w:rsidR="00FC43BC">
        <w:t xml:space="preserve">Brian A </w:t>
      </w:r>
      <w:r w:rsidR="0022742B">
        <w:t>Langille</w:t>
      </w:r>
      <w:r w:rsidR="00743370">
        <w:t>,</w:t>
      </w:r>
      <w:r w:rsidR="0022742B">
        <w:t xml:space="preserve"> </w:t>
      </w:r>
      <w:r w:rsidR="0022742B" w:rsidRPr="0018378E">
        <w:t>“</w:t>
      </w:r>
      <w:r w:rsidRPr="0018378E">
        <w:t>Speaking Rationality to Power</w:t>
      </w:r>
      <w:r w:rsidR="0096278B">
        <w:t>”</w:t>
      </w:r>
      <w:r w:rsidR="0018378E" w:rsidRPr="0018378E">
        <w:rPr>
          <w:rFonts w:eastAsia="Times New Roman" w:cs="Times New Roman"/>
          <w:color w:val="000000"/>
          <w:kern w:val="0"/>
          <w14:ligatures w14:val="none"/>
        </w:rPr>
        <w:t xml:space="preserve"> in Vanessa MacDonnell, Gerald Chan</w:t>
      </w:r>
      <w:r w:rsidR="0096278B">
        <w:rPr>
          <w:rFonts w:eastAsia="Times New Roman" w:cs="Times New Roman"/>
          <w:color w:val="000000"/>
          <w:kern w:val="0"/>
          <w14:ligatures w14:val="none"/>
        </w:rPr>
        <w:t>,</w:t>
      </w:r>
      <w:r w:rsidR="0018378E" w:rsidRPr="0018378E">
        <w:rPr>
          <w:rFonts w:eastAsia="Times New Roman" w:cs="Times New Roman"/>
          <w:color w:val="000000"/>
          <w:kern w:val="0"/>
          <w14:ligatures w14:val="none"/>
        </w:rPr>
        <w:t xml:space="preserve"> and Stephen Bindman, eds, </w:t>
      </w:r>
      <w:r w:rsidR="0018378E" w:rsidRPr="0096278B">
        <w:rPr>
          <w:rFonts w:eastAsia="Times New Roman" w:cs="Times New Roman"/>
          <w:i/>
          <w:iCs/>
          <w:color w:val="000000"/>
          <w:kern w:val="0"/>
          <w14:ligatures w14:val="none"/>
        </w:rPr>
        <w:t>Justice Rosalie Silberman Abella: A Life of Firsts</w:t>
      </w:r>
      <w:r w:rsidR="0018378E" w:rsidRPr="0018378E">
        <w:rPr>
          <w:rFonts w:eastAsia="Times New Roman" w:cs="Times New Roman"/>
          <w:i/>
          <w:iCs/>
          <w:color w:val="000000"/>
          <w:kern w:val="0"/>
          <w14:ligatures w14:val="none"/>
        </w:rPr>
        <w:t> </w:t>
      </w:r>
      <w:r w:rsidR="0018378E" w:rsidRPr="0018378E">
        <w:rPr>
          <w:rFonts w:eastAsia="Times New Roman" w:cs="Times New Roman"/>
          <w:color w:val="000000"/>
          <w:kern w:val="0"/>
          <w14:ligatures w14:val="none"/>
        </w:rPr>
        <w:t>(Toronto: Irwin Law, 2024)</w:t>
      </w:r>
      <w:r w:rsidR="0096278B">
        <w:rPr>
          <w:rFonts w:eastAsia="Times New Roman" w:cs="Times New Roman"/>
          <w:color w:val="000000"/>
          <w:kern w:val="0"/>
          <w14:ligatures w14:val="none"/>
        </w:rPr>
        <w:t xml:space="preserve"> (forthcoming)</w:t>
      </w:r>
      <w:r w:rsidR="0018378E" w:rsidRPr="0018378E">
        <w:rPr>
          <w:rFonts w:eastAsia="Times New Roman" w:cs="Times New Roman"/>
          <w:color w:val="000000"/>
          <w:kern w:val="0"/>
          <w14:ligatures w14:val="none"/>
        </w:rPr>
        <w:t>.</w:t>
      </w:r>
    </w:p>
  </w:footnote>
  <w:footnote w:id="63">
    <w:p w14:paraId="012C7582" w14:textId="39E8A17B" w:rsidR="005E5D75" w:rsidRPr="005E5D75" w:rsidRDefault="005E5D75">
      <w:pPr>
        <w:pStyle w:val="FootnoteText"/>
        <w:rPr>
          <w:lang w:val="en-US"/>
        </w:rPr>
      </w:pPr>
      <w:r>
        <w:rPr>
          <w:rStyle w:val="FootnoteReference"/>
        </w:rPr>
        <w:footnoteRef/>
      </w:r>
      <w:r>
        <w:t xml:space="preserve"> </w:t>
      </w:r>
      <w:r w:rsidRPr="00F41FC9">
        <w:rPr>
          <w:i/>
          <w:iCs/>
        </w:rPr>
        <w:t>Dunmore</w:t>
      </w:r>
      <w:r>
        <w:t xml:space="preserve">, </w:t>
      </w:r>
      <w:r>
        <w:rPr>
          <w:i/>
          <w:iCs/>
        </w:rPr>
        <w:t xml:space="preserve">supra </w:t>
      </w:r>
      <w:r>
        <w:t xml:space="preserve">note </w:t>
      </w:r>
      <w:r>
        <w:fldChar w:fldCharType="begin"/>
      </w:r>
      <w:r>
        <w:instrText xml:space="preserve"> NOTEREF _Ref178518964 \h </w:instrText>
      </w:r>
      <w:r>
        <w:fldChar w:fldCharType="separate"/>
      </w:r>
      <w:r w:rsidR="0058649B">
        <w:t>30</w:t>
      </w:r>
      <w:r>
        <w:fldChar w:fldCharType="end"/>
      </w:r>
      <w:r>
        <w:t>.</w:t>
      </w:r>
    </w:p>
  </w:footnote>
  <w:footnote w:id="64">
    <w:p w14:paraId="463280F0" w14:textId="0CC29F27" w:rsidR="001B544E" w:rsidRPr="00A41277" w:rsidRDefault="001B544E">
      <w:pPr>
        <w:pStyle w:val="FootnoteText"/>
      </w:pPr>
      <w:r>
        <w:rPr>
          <w:rStyle w:val="FootnoteReference"/>
        </w:rPr>
        <w:footnoteRef/>
      </w:r>
      <w:r w:rsidRPr="00A41277">
        <w:t xml:space="preserve"> </w:t>
      </w:r>
      <w:r w:rsidRPr="00A41277">
        <w:rPr>
          <w:i/>
          <w:iCs/>
        </w:rPr>
        <w:t>Ibid</w:t>
      </w:r>
      <w:r w:rsidRPr="00A41277">
        <w:t>.</w:t>
      </w:r>
    </w:p>
  </w:footnote>
  <w:footnote w:id="65">
    <w:p w14:paraId="4AE208AC" w14:textId="2DF1054F" w:rsidR="00BE774F" w:rsidRPr="0009687D" w:rsidRDefault="00BE774F">
      <w:pPr>
        <w:pStyle w:val="FootnoteText"/>
      </w:pPr>
      <w:r>
        <w:rPr>
          <w:rStyle w:val="FootnoteReference"/>
        </w:rPr>
        <w:footnoteRef/>
      </w:r>
      <w:r w:rsidRPr="0009687D">
        <w:t xml:space="preserve"> </w:t>
      </w:r>
      <w:r w:rsidR="00676E27" w:rsidRPr="0009687D">
        <w:rPr>
          <w:i/>
          <w:iCs/>
        </w:rPr>
        <w:t>Casinos du Québec</w:t>
      </w:r>
      <w:r w:rsidR="00676E27" w:rsidRPr="0009687D">
        <w:t>,</w:t>
      </w:r>
      <w:r w:rsidR="00676E27" w:rsidRPr="0009687D">
        <w:rPr>
          <w:i/>
          <w:iCs/>
        </w:rPr>
        <w:t xml:space="preserve"> supra </w:t>
      </w:r>
      <w:r w:rsidR="00676E27" w:rsidRPr="0009687D">
        <w:t xml:space="preserve">note </w:t>
      </w:r>
      <w:r w:rsidR="00676E27">
        <w:rPr>
          <w:lang w:val="en-US"/>
        </w:rPr>
        <w:fldChar w:fldCharType="begin"/>
      </w:r>
      <w:r w:rsidR="00676E27" w:rsidRPr="0009687D">
        <w:instrText xml:space="preserve"> NOTEREF _Ref178265253 \h </w:instrText>
      </w:r>
      <w:r w:rsidR="00676E27">
        <w:rPr>
          <w:lang w:val="en-US"/>
        </w:rPr>
      </w:r>
      <w:r w:rsidR="00676E27">
        <w:rPr>
          <w:lang w:val="en-US"/>
        </w:rPr>
        <w:fldChar w:fldCharType="separate"/>
      </w:r>
      <w:r w:rsidR="0058649B" w:rsidRPr="0009687D">
        <w:t>20</w:t>
      </w:r>
      <w:r w:rsidR="00676E27">
        <w:rPr>
          <w:lang w:val="en-US"/>
        </w:rPr>
        <w:fldChar w:fldCharType="end"/>
      </w:r>
      <w:r w:rsidR="00676E27" w:rsidRPr="0009687D">
        <w:t xml:space="preserve"> </w:t>
      </w:r>
      <w:r w:rsidRPr="0009687D">
        <w:t xml:space="preserve">at para </w:t>
      </w:r>
      <w:r w:rsidR="0096278B" w:rsidRPr="0009687D">
        <w:t>1</w:t>
      </w:r>
      <w:r w:rsidRPr="0009687D">
        <w:t>8</w:t>
      </w:r>
      <w:r w:rsidR="00724014" w:rsidRPr="0009687D">
        <w:t xml:space="preserve"> </w:t>
      </w:r>
      <w:r w:rsidR="0096278B" w:rsidRPr="0009687D">
        <w:t xml:space="preserve">(quoting </w:t>
      </w:r>
      <w:r w:rsidR="0096278B" w:rsidRPr="0009687D">
        <w:rPr>
          <w:i/>
          <w:iCs/>
        </w:rPr>
        <w:t>Dunmore</w:t>
      </w:r>
      <w:r w:rsidR="0096278B" w:rsidRPr="0009687D">
        <w:t xml:space="preserve">, </w:t>
      </w:r>
      <w:r w:rsidR="0096278B" w:rsidRPr="0009687D">
        <w:rPr>
          <w:i/>
          <w:iCs/>
        </w:rPr>
        <w:t xml:space="preserve">supra </w:t>
      </w:r>
      <w:r w:rsidR="0096278B" w:rsidRPr="0009687D">
        <w:t xml:space="preserve">note </w:t>
      </w:r>
      <w:r w:rsidR="0096278B">
        <w:fldChar w:fldCharType="begin"/>
      </w:r>
      <w:r w:rsidR="0096278B" w:rsidRPr="0009687D">
        <w:instrText xml:space="preserve"> NOTEREF _Ref178518964 \h </w:instrText>
      </w:r>
      <w:r w:rsidR="0096278B">
        <w:fldChar w:fldCharType="separate"/>
      </w:r>
      <w:r w:rsidR="0058649B" w:rsidRPr="0009687D">
        <w:t>30</w:t>
      </w:r>
      <w:r w:rsidR="0096278B">
        <w:fldChar w:fldCharType="end"/>
      </w:r>
      <w:r w:rsidR="0096278B" w:rsidRPr="0009687D">
        <w:t xml:space="preserve"> at para 28)</w:t>
      </w:r>
      <w:r w:rsidR="00DF5C70" w:rsidRPr="0009687D">
        <w:t xml:space="preserve"> </w:t>
      </w:r>
      <w:r w:rsidR="00724014" w:rsidRPr="0009687D">
        <w:t>[emphasis added]</w:t>
      </w:r>
      <w:r w:rsidRPr="0009687D">
        <w:t>.</w:t>
      </w:r>
    </w:p>
  </w:footnote>
  <w:footnote w:id="66">
    <w:p w14:paraId="362AB66E" w14:textId="342ED466" w:rsidR="00546873" w:rsidRPr="0018378E" w:rsidRDefault="00546873">
      <w:pPr>
        <w:pStyle w:val="FootnoteText"/>
        <w:rPr>
          <w:lang w:val="fr-FR"/>
        </w:rPr>
      </w:pPr>
      <w:r>
        <w:rPr>
          <w:rStyle w:val="FootnoteReference"/>
        </w:rPr>
        <w:footnoteRef/>
      </w:r>
      <w:r w:rsidRPr="0018378E">
        <w:rPr>
          <w:lang w:val="fr-FR"/>
        </w:rPr>
        <w:t xml:space="preserve"> </w:t>
      </w:r>
      <w:proofErr w:type="spellStart"/>
      <w:r w:rsidRPr="0018378E">
        <w:rPr>
          <w:lang w:val="fr-FR"/>
        </w:rPr>
        <w:t>See</w:t>
      </w:r>
      <w:proofErr w:type="spellEnd"/>
      <w:r w:rsidRPr="0018378E">
        <w:rPr>
          <w:lang w:val="fr-FR"/>
        </w:rPr>
        <w:t xml:space="preserve"> </w:t>
      </w:r>
      <w:proofErr w:type="spellStart"/>
      <w:r w:rsidRPr="00E93A65">
        <w:rPr>
          <w:lang w:val="fr-FR"/>
        </w:rPr>
        <w:t>fn</w:t>
      </w:r>
      <w:proofErr w:type="spellEnd"/>
      <w:r w:rsidRPr="00E93A65">
        <w:rPr>
          <w:lang w:val="fr-FR"/>
        </w:rPr>
        <w:t xml:space="preserve"> </w:t>
      </w:r>
      <w:r w:rsidR="00E93A65" w:rsidRPr="00E93A65">
        <w:rPr>
          <w:lang w:val="fr-FR"/>
        </w:rPr>
        <w:t>30</w:t>
      </w:r>
      <w:r w:rsidR="00731616" w:rsidRPr="00E93A65">
        <w:rPr>
          <w:lang w:val="fr-FR"/>
        </w:rPr>
        <w:t xml:space="preserve"> </w:t>
      </w:r>
      <w:r w:rsidR="00731616" w:rsidRPr="00E93A65">
        <w:rPr>
          <w:i/>
          <w:iCs/>
          <w:lang w:val="fr-FR"/>
        </w:rPr>
        <w:t>supra</w:t>
      </w:r>
      <w:r w:rsidR="0018378E" w:rsidRPr="00E93A65">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0230"/>
    <w:multiLevelType w:val="hybridMultilevel"/>
    <w:tmpl w:val="6CDCD082"/>
    <w:lvl w:ilvl="0" w:tplc="0F1274F6">
      <w:start w:val="1"/>
      <w:numFmt w:val="decimal"/>
      <w:lvlText w:val="%1."/>
      <w:lvlJc w:val="left"/>
      <w:pPr>
        <w:ind w:left="414" w:hanging="360"/>
      </w:pPr>
      <w:rPr>
        <w:rFonts w:hint="default"/>
      </w:rPr>
    </w:lvl>
    <w:lvl w:ilvl="1" w:tplc="10090019" w:tentative="1">
      <w:start w:val="1"/>
      <w:numFmt w:val="lowerLetter"/>
      <w:lvlText w:val="%2."/>
      <w:lvlJc w:val="left"/>
      <w:pPr>
        <w:ind w:left="1134" w:hanging="360"/>
      </w:pPr>
    </w:lvl>
    <w:lvl w:ilvl="2" w:tplc="1009001B" w:tentative="1">
      <w:start w:val="1"/>
      <w:numFmt w:val="lowerRoman"/>
      <w:lvlText w:val="%3."/>
      <w:lvlJc w:val="right"/>
      <w:pPr>
        <w:ind w:left="1854" w:hanging="180"/>
      </w:pPr>
    </w:lvl>
    <w:lvl w:ilvl="3" w:tplc="1009000F" w:tentative="1">
      <w:start w:val="1"/>
      <w:numFmt w:val="decimal"/>
      <w:lvlText w:val="%4."/>
      <w:lvlJc w:val="left"/>
      <w:pPr>
        <w:ind w:left="2574" w:hanging="360"/>
      </w:pPr>
    </w:lvl>
    <w:lvl w:ilvl="4" w:tplc="10090019" w:tentative="1">
      <w:start w:val="1"/>
      <w:numFmt w:val="lowerLetter"/>
      <w:lvlText w:val="%5."/>
      <w:lvlJc w:val="left"/>
      <w:pPr>
        <w:ind w:left="3294" w:hanging="360"/>
      </w:pPr>
    </w:lvl>
    <w:lvl w:ilvl="5" w:tplc="1009001B" w:tentative="1">
      <w:start w:val="1"/>
      <w:numFmt w:val="lowerRoman"/>
      <w:lvlText w:val="%6."/>
      <w:lvlJc w:val="right"/>
      <w:pPr>
        <w:ind w:left="4014" w:hanging="180"/>
      </w:pPr>
    </w:lvl>
    <w:lvl w:ilvl="6" w:tplc="1009000F" w:tentative="1">
      <w:start w:val="1"/>
      <w:numFmt w:val="decimal"/>
      <w:lvlText w:val="%7."/>
      <w:lvlJc w:val="left"/>
      <w:pPr>
        <w:ind w:left="4734" w:hanging="360"/>
      </w:pPr>
    </w:lvl>
    <w:lvl w:ilvl="7" w:tplc="10090019" w:tentative="1">
      <w:start w:val="1"/>
      <w:numFmt w:val="lowerLetter"/>
      <w:lvlText w:val="%8."/>
      <w:lvlJc w:val="left"/>
      <w:pPr>
        <w:ind w:left="5454" w:hanging="360"/>
      </w:pPr>
    </w:lvl>
    <w:lvl w:ilvl="8" w:tplc="1009001B" w:tentative="1">
      <w:start w:val="1"/>
      <w:numFmt w:val="lowerRoman"/>
      <w:lvlText w:val="%9."/>
      <w:lvlJc w:val="right"/>
      <w:pPr>
        <w:ind w:left="6174" w:hanging="180"/>
      </w:pPr>
    </w:lvl>
  </w:abstractNum>
  <w:abstractNum w:abstractNumId="1" w15:restartNumberingAfterBreak="0">
    <w:nsid w:val="753D6F68"/>
    <w:multiLevelType w:val="hybridMultilevel"/>
    <w:tmpl w:val="0E3C845A"/>
    <w:lvl w:ilvl="0" w:tplc="BBF2B5E2">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1411877">
    <w:abstractNumId w:val="0"/>
  </w:num>
  <w:num w:numId="2" w16cid:durableId="58060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TYwtzAwMjYxNTRS0lEKTi0uzszPAykwrQUAV6oSUiwAAAA="/>
  </w:docVars>
  <w:rsids>
    <w:rsidRoot w:val="00964F7E"/>
    <w:rsid w:val="00000B19"/>
    <w:rsid w:val="00000BC1"/>
    <w:rsid w:val="00000C0B"/>
    <w:rsid w:val="0000173E"/>
    <w:rsid w:val="00001AF0"/>
    <w:rsid w:val="000046EA"/>
    <w:rsid w:val="00004D75"/>
    <w:rsid w:val="00005BF2"/>
    <w:rsid w:val="00005BF9"/>
    <w:rsid w:val="00006DAF"/>
    <w:rsid w:val="000122B3"/>
    <w:rsid w:val="00012838"/>
    <w:rsid w:val="00012A43"/>
    <w:rsid w:val="00012CE8"/>
    <w:rsid w:val="000158FC"/>
    <w:rsid w:val="00016BE5"/>
    <w:rsid w:val="00016CE5"/>
    <w:rsid w:val="00017254"/>
    <w:rsid w:val="0002146E"/>
    <w:rsid w:val="00022871"/>
    <w:rsid w:val="000241BC"/>
    <w:rsid w:val="00026306"/>
    <w:rsid w:val="000278BB"/>
    <w:rsid w:val="00027ADE"/>
    <w:rsid w:val="00027DB2"/>
    <w:rsid w:val="00030D6D"/>
    <w:rsid w:val="000317BD"/>
    <w:rsid w:val="00032443"/>
    <w:rsid w:val="000327F8"/>
    <w:rsid w:val="000346D1"/>
    <w:rsid w:val="000375F4"/>
    <w:rsid w:val="00037C0D"/>
    <w:rsid w:val="000410C7"/>
    <w:rsid w:val="00042134"/>
    <w:rsid w:val="00042621"/>
    <w:rsid w:val="00045889"/>
    <w:rsid w:val="00046EEC"/>
    <w:rsid w:val="00046F82"/>
    <w:rsid w:val="00050500"/>
    <w:rsid w:val="00050640"/>
    <w:rsid w:val="000526F1"/>
    <w:rsid w:val="000554D9"/>
    <w:rsid w:val="00062718"/>
    <w:rsid w:val="0006544E"/>
    <w:rsid w:val="00066C21"/>
    <w:rsid w:val="00067CAE"/>
    <w:rsid w:val="00067F4E"/>
    <w:rsid w:val="00070AFE"/>
    <w:rsid w:val="00072A8F"/>
    <w:rsid w:val="00072D50"/>
    <w:rsid w:val="000730C6"/>
    <w:rsid w:val="00081A82"/>
    <w:rsid w:val="00081B9F"/>
    <w:rsid w:val="000838B6"/>
    <w:rsid w:val="00083C1B"/>
    <w:rsid w:val="00084592"/>
    <w:rsid w:val="00084FBA"/>
    <w:rsid w:val="0008650D"/>
    <w:rsid w:val="00091586"/>
    <w:rsid w:val="0009286B"/>
    <w:rsid w:val="00092925"/>
    <w:rsid w:val="00094A3F"/>
    <w:rsid w:val="000950D4"/>
    <w:rsid w:val="00095556"/>
    <w:rsid w:val="00095BB6"/>
    <w:rsid w:val="0009687D"/>
    <w:rsid w:val="00096D8A"/>
    <w:rsid w:val="000A219B"/>
    <w:rsid w:val="000A21CE"/>
    <w:rsid w:val="000A35BB"/>
    <w:rsid w:val="000A3F76"/>
    <w:rsid w:val="000A5796"/>
    <w:rsid w:val="000A59FD"/>
    <w:rsid w:val="000A5F28"/>
    <w:rsid w:val="000A60AE"/>
    <w:rsid w:val="000A6939"/>
    <w:rsid w:val="000B08AB"/>
    <w:rsid w:val="000B31F1"/>
    <w:rsid w:val="000B384E"/>
    <w:rsid w:val="000B39FE"/>
    <w:rsid w:val="000B3CDD"/>
    <w:rsid w:val="000B46CF"/>
    <w:rsid w:val="000B54A8"/>
    <w:rsid w:val="000B577D"/>
    <w:rsid w:val="000B577F"/>
    <w:rsid w:val="000C0730"/>
    <w:rsid w:val="000C1CD5"/>
    <w:rsid w:val="000C6AB6"/>
    <w:rsid w:val="000C7642"/>
    <w:rsid w:val="000D177F"/>
    <w:rsid w:val="000D3ACE"/>
    <w:rsid w:val="000D454A"/>
    <w:rsid w:val="000D4DA2"/>
    <w:rsid w:val="000D6331"/>
    <w:rsid w:val="000D65FD"/>
    <w:rsid w:val="000D6B98"/>
    <w:rsid w:val="000D6E6C"/>
    <w:rsid w:val="000D6E99"/>
    <w:rsid w:val="000E0836"/>
    <w:rsid w:val="000E0E0A"/>
    <w:rsid w:val="000E16FE"/>
    <w:rsid w:val="000E267B"/>
    <w:rsid w:val="000E3645"/>
    <w:rsid w:val="000E368E"/>
    <w:rsid w:val="000E3DE1"/>
    <w:rsid w:val="000E6BC3"/>
    <w:rsid w:val="000F0F30"/>
    <w:rsid w:val="000F3C99"/>
    <w:rsid w:val="00100491"/>
    <w:rsid w:val="0010085B"/>
    <w:rsid w:val="00100861"/>
    <w:rsid w:val="00100B94"/>
    <w:rsid w:val="00101AE5"/>
    <w:rsid w:val="00101D8A"/>
    <w:rsid w:val="001036A6"/>
    <w:rsid w:val="00104A86"/>
    <w:rsid w:val="00105343"/>
    <w:rsid w:val="00105BD4"/>
    <w:rsid w:val="0011151A"/>
    <w:rsid w:val="001120E3"/>
    <w:rsid w:val="00113407"/>
    <w:rsid w:val="0011420C"/>
    <w:rsid w:val="0011499A"/>
    <w:rsid w:val="00115211"/>
    <w:rsid w:val="00115942"/>
    <w:rsid w:val="001164AB"/>
    <w:rsid w:val="00120329"/>
    <w:rsid w:val="001220FE"/>
    <w:rsid w:val="001254F0"/>
    <w:rsid w:val="001262BA"/>
    <w:rsid w:val="00126911"/>
    <w:rsid w:val="00126AB1"/>
    <w:rsid w:val="0012704A"/>
    <w:rsid w:val="00131855"/>
    <w:rsid w:val="00131C9C"/>
    <w:rsid w:val="00131D6C"/>
    <w:rsid w:val="00132BE9"/>
    <w:rsid w:val="0013427A"/>
    <w:rsid w:val="001352A1"/>
    <w:rsid w:val="00137440"/>
    <w:rsid w:val="00137FE3"/>
    <w:rsid w:val="00140063"/>
    <w:rsid w:val="00140451"/>
    <w:rsid w:val="001435D3"/>
    <w:rsid w:val="00143A24"/>
    <w:rsid w:val="00144078"/>
    <w:rsid w:val="001448C5"/>
    <w:rsid w:val="00144945"/>
    <w:rsid w:val="00144F06"/>
    <w:rsid w:val="00145E40"/>
    <w:rsid w:val="001465D5"/>
    <w:rsid w:val="00146F76"/>
    <w:rsid w:val="00152054"/>
    <w:rsid w:val="00152EDB"/>
    <w:rsid w:val="00154915"/>
    <w:rsid w:val="00154F74"/>
    <w:rsid w:val="001554D2"/>
    <w:rsid w:val="00155625"/>
    <w:rsid w:val="0016144D"/>
    <w:rsid w:val="001619F9"/>
    <w:rsid w:val="00161CA0"/>
    <w:rsid w:val="0016351E"/>
    <w:rsid w:val="0016417E"/>
    <w:rsid w:val="00164C9E"/>
    <w:rsid w:val="001666A2"/>
    <w:rsid w:val="00167503"/>
    <w:rsid w:val="0016792E"/>
    <w:rsid w:val="00167C3B"/>
    <w:rsid w:val="0018070D"/>
    <w:rsid w:val="00183008"/>
    <w:rsid w:val="0018378E"/>
    <w:rsid w:val="001854CF"/>
    <w:rsid w:val="001862B2"/>
    <w:rsid w:val="001863DD"/>
    <w:rsid w:val="001869FD"/>
    <w:rsid w:val="00191F3A"/>
    <w:rsid w:val="0019302D"/>
    <w:rsid w:val="00193848"/>
    <w:rsid w:val="00195DB7"/>
    <w:rsid w:val="00197654"/>
    <w:rsid w:val="001A3785"/>
    <w:rsid w:val="001A3B1F"/>
    <w:rsid w:val="001A5551"/>
    <w:rsid w:val="001A56CA"/>
    <w:rsid w:val="001A6148"/>
    <w:rsid w:val="001A667D"/>
    <w:rsid w:val="001A712C"/>
    <w:rsid w:val="001B0271"/>
    <w:rsid w:val="001B0E06"/>
    <w:rsid w:val="001B150D"/>
    <w:rsid w:val="001B544E"/>
    <w:rsid w:val="001B545A"/>
    <w:rsid w:val="001B65A7"/>
    <w:rsid w:val="001C0101"/>
    <w:rsid w:val="001C03C8"/>
    <w:rsid w:val="001C1218"/>
    <w:rsid w:val="001C15F5"/>
    <w:rsid w:val="001C221F"/>
    <w:rsid w:val="001C2DE2"/>
    <w:rsid w:val="001C30B0"/>
    <w:rsid w:val="001C3B81"/>
    <w:rsid w:val="001D0C74"/>
    <w:rsid w:val="001D11BA"/>
    <w:rsid w:val="001D19A5"/>
    <w:rsid w:val="001D2B64"/>
    <w:rsid w:val="001D2DE3"/>
    <w:rsid w:val="001D3474"/>
    <w:rsid w:val="001D3860"/>
    <w:rsid w:val="001D4282"/>
    <w:rsid w:val="001D478E"/>
    <w:rsid w:val="001D49D2"/>
    <w:rsid w:val="001D7E35"/>
    <w:rsid w:val="001E01FB"/>
    <w:rsid w:val="001E1891"/>
    <w:rsid w:val="001E31A4"/>
    <w:rsid w:val="001E3A4A"/>
    <w:rsid w:val="001F04EB"/>
    <w:rsid w:val="001F3F31"/>
    <w:rsid w:val="001F424E"/>
    <w:rsid w:val="001F4ACB"/>
    <w:rsid w:val="001F4BDF"/>
    <w:rsid w:val="001F5858"/>
    <w:rsid w:val="001F7245"/>
    <w:rsid w:val="001F78CA"/>
    <w:rsid w:val="002006A7"/>
    <w:rsid w:val="00200D5D"/>
    <w:rsid w:val="002026E5"/>
    <w:rsid w:val="00202E0C"/>
    <w:rsid w:val="0020358C"/>
    <w:rsid w:val="00203A2D"/>
    <w:rsid w:val="00204DCE"/>
    <w:rsid w:val="0020686D"/>
    <w:rsid w:val="002113A1"/>
    <w:rsid w:val="00211D37"/>
    <w:rsid w:val="0021355D"/>
    <w:rsid w:val="002136A5"/>
    <w:rsid w:val="00220949"/>
    <w:rsid w:val="0022102A"/>
    <w:rsid w:val="00222700"/>
    <w:rsid w:val="00226D16"/>
    <w:rsid w:val="0022742B"/>
    <w:rsid w:val="00227915"/>
    <w:rsid w:val="0023003C"/>
    <w:rsid w:val="00230268"/>
    <w:rsid w:val="002313BB"/>
    <w:rsid w:val="002321A6"/>
    <w:rsid w:val="00232324"/>
    <w:rsid w:val="00232F1A"/>
    <w:rsid w:val="00234811"/>
    <w:rsid w:val="00235EEB"/>
    <w:rsid w:val="00235FDD"/>
    <w:rsid w:val="0023628A"/>
    <w:rsid w:val="002373DB"/>
    <w:rsid w:val="0024080C"/>
    <w:rsid w:val="00241AE1"/>
    <w:rsid w:val="002433FA"/>
    <w:rsid w:val="002434DB"/>
    <w:rsid w:val="00243E1D"/>
    <w:rsid w:val="00244352"/>
    <w:rsid w:val="0024492B"/>
    <w:rsid w:val="0024638E"/>
    <w:rsid w:val="00246ABC"/>
    <w:rsid w:val="00250B54"/>
    <w:rsid w:val="0025110B"/>
    <w:rsid w:val="002511D6"/>
    <w:rsid w:val="00252906"/>
    <w:rsid w:val="002531C5"/>
    <w:rsid w:val="0025388A"/>
    <w:rsid w:val="00254CD3"/>
    <w:rsid w:val="00255072"/>
    <w:rsid w:val="00256E54"/>
    <w:rsid w:val="00257AA1"/>
    <w:rsid w:val="002602C6"/>
    <w:rsid w:val="0026056D"/>
    <w:rsid w:val="002609DF"/>
    <w:rsid w:val="00262ECA"/>
    <w:rsid w:val="00264CBA"/>
    <w:rsid w:val="0026580A"/>
    <w:rsid w:val="0026719D"/>
    <w:rsid w:val="00267221"/>
    <w:rsid w:val="00270051"/>
    <w:rsid w:val="00271732"/>
    <w:rsid w:val="0027487E"/>
    <w:rsid w:val="00274974"/>
    <w:rsid w:val="00274DA4"/>
    <w:rsid w:val="00276AF0"/>
    <w:rsid w:val="00277890"/>
    <w:rsid w:val="00281DAB"/>
    <w:rsid w:val="00282D3D"/>
    <w:rsid w:val="00284222"/>
    <w:rsid w:val="00284D41"/>
    <w:rsid w:val="00284D89"/>
    <w:rsid w:val="00285133"/>
    <w:rsid w:val="00285A9F"/>
    <w:rsid w:val="00286802"/>
    <w:rsid w:val="0028704A"/>
    <w:rsid w:val="00287657"/>
    <w:rsid w:val="00293D78"/>
    <w:rsid w:val="00294274"/>
    <w:rsid w:val="00294BF6"/>
    <w:rsid w:val="00295989"/>
    <w:rsid w:val="00295BB6"/>
    <w:rsid w:val="002A057E"/>
    <w:rsid w:val="002A05FA"/>
    <w:rsid w:val="002A08C1"/>
    <w:rsid w:val="002A09F2"/>
    <w:rsid w:val="002A2E0B"/>
    <w:rsid w:val="002A2E42"/>
    <w:rsid w:val="002A2F79"/>
    <w:rsid w:val="002A30D3"/>
    <w:rsid w:val="002A4213"/>
    <w:rsid w:val="002A42EF"/>
    <w:rsid w:val="002A5871"/>
    <w:rsid w:val="002A6047"/>
    <w:rsid w:val="002A663E"/>
    <w:rsid w:val="002A6A99"/>
    <w:rsid w:val="002A6E83"/>
    <w:rsid w:val="002A6F72"/>
    <w:rsid w:val="002B0345"/>
    <w:rsid w:val="002B13AA"/>
    <w:rsid w:val="002B1F01"/>
    <w:rsid w:val="002B25D2"/>
    <w:rsid w:val="002B4095"/>
    <w:rsid w:val="002B5E4B"/>
    <w:rsid w:val="002B651A"/>
    <w:rsid w:val="002B7EC6"/>
    <w:rsid w:val="002C2870"/>
    <w:rsid w:val="002C2DA8"/>
    <w:rsid w:val="002C3E28"/>
    <w:rsid w:val="002C4098"/>
    <w:rsid w:val="002C42C4"/>
    <w:rsid w:val="002C47CA"/>
    <w:rsid w:val="002C538F"/>
    <w:rsid w:val="002C54DC"/>
    <w:rsid w:val="002C60B9"/>
    <w:rsid w:val="002C62CE"/>
    <w:rsid w:val="002C6A08"/>
    <w:rsid w:val="002C7741"/>
    <w:rsid w:val="002C7C1F"/>
    <w:rsid w:val="002C7DEA"/>
    <w:rsid w:val="002D03DC"/>
    <w:rsid w:val="002D2499"/>
    <w:rsid w:val="002D3A81"/>
    <w:rsid w:val="002D4612"/>
    <w:rsid w:val="002D53D4"/>
    <w:rsid w:val="002D5D38"/>
    <w:rsid w:val="002D6FA2"/>
    <w:rsid w:val="002E32FD"/>
    <w:rsid w:val="002E4B42"/>
    <w:rsid w:val="002E7A85"/>
    <w:rsid w:val="002E7F45"/>
    <w:rsid w:val="002F01CE"/>
    <w:rsid w:val="002F09D4"/>
    <w:rsid w:val="002F0B82"/>
    <w:rsid w:val="002F0FAE"/>
    <w:rsid w:val="002F4386"/>
    <w:rsid w:val="002F5103"/>
    <w:rsid w:val="002F690E"/>
    <w:rsid w:val="00303118"/>
    <w:rsid w:val="003037E6"/>
    <w:rsid w:val="003050B1"/>
    <w:rsid w:val="00310555"/>
    <w:rsid w:val="00311B2F"/>
    <w:rsid w:val="00312F73"/>
    <w:rsid w:val="003146C6"/>
    <w:rsid w:val="00314988"/>
    <w:rsid w:val="00315732"/>
    <w:rsid w:val="00316702"/>
    <w:rsid w:val="0031790B"/>
    <w:rsid w:val="003206BD"/>
    <w:rsid w:val="003208C0"/>
    <w:rsid w:val="00323A3B"/>
    <w:rsid w:val="003243C2"/>
    <w:rsid w:val="003250E3"/>
    <w:rsid w:val="00327145"/>
    <w:rsid w:val="00330A96"/>
    <w:rsid w:val="0033128A"/>
    <w:rsid w:val="00331666"/>
    <w:rsid w:val="00332C20"/>
    <w:rsid w:val="00333F8F"/>
    <w:rsid w:val="003343D1"/>
    <w:rsid w:val="00334A25"/>
    <w:rsid w:val="003352CA"/>
    <w:rsid w:val="00336023"/>
    <w:rsid w:val="003366BE"/>
    <w:rsid w:val="00336BEF"/>
    <w:rsid w:val="003378ED"/>
    <w:rsid w:val="003403B7"/>
    <w:rsid w:val="00340AE6"/>
    <w:rsid w:val="0034188C"/>
    <w:rsid w:val="00341BFF"/>
    <w:rsid w:val="0034225B"/>
    <w:rsid w:val="00342600"/>
    <w:rsid w:val="00343465"/>
    <w:rsid w:val="00343EB7"/>
    <w:rsid w:val="00345DDE"/>
    <w:rsid w:val="00346410"/>
    <w:rsid w:val="0035021B"/>
    <w:rsid w:val="00350958"/>
    <w:rsid w:val="00351B45"/>
    <w:rsid w:val="00352359"/>
    <w:rsid w:val="00354B50"/>
    <w:rsid w:val="00355A6D"/>
    <w:rsid w:val="00356EE0"/>
    <w:rsid w:val="00357642"/>
    <w:rsid w:val="00357854"/>
    <w:rsid w:val="00357BA6"/>
    <w:rsid w:val="00360601"/>
    <w:rsid w:val="00360A30"/>
    <w:rsid w:val="0036290E"/>
    <w:rsid w:val="003642BA"/>
    <w:rsid w:val="00366C05"/>
    <w:rsid w:val="003702CC"/>
    <w:rsid w:val="00370ACF"/>
    <w:rsid w:val="003720F3"/>
    <w:rsid w:val="00374D7C"/>
    <w:rsid w:val="00375489"/>
    <w:rsid w:val="003758A5"/>
    <w:rsid w:val="00376F81"/>
    <w:rsid w:val="00376FED"/>
    <w:rsid w:val="00381037"/>
    <w:rsid w:val="00383195"/>
    <w:rsid w:val="00383D54"/>
    <w:rsid w:val="00384347"/>
    <w:rsid w:val="003858F7"/>
    <w:rsid w:val="00386E1A"/>
    <w:rsid w:val="00387CDC"/>
    <w:rsid w:val="00387F67"/>
    <w:rsid w:val="00391701"/>
    <w:rsid w:val="00392084"/>
    <w:rsid w:val="003925D6"/>
    <w:rsid w:val="00393C9F"/>
    <w:rsid w:val="003956CF"/>
    <w:rsid w:val="003962A2"/>
    <w:rsid w:val="00396486"/>
    <w:rsid w:val="00396646"/>
    <w:rsid w:val="003A47FA"/>
    <w:rsid w:val="003A567D"/>
    <w:rsid w:val="003B416D"/>
    <w:rsid w:val="003B4F3B"/>
    <w:rsid w:val="003B6BD5"/>
    <w:rsid w:val="003B6D5A"/>
    <w:rsid w:val="003B7846"/>
    <w:rsid w:val="003C3354"/>
    <w:rsid w:val="003C4343"/>
    <w:rsid w:val="003C52F2"/>
    <w:rsid w:val="003C6904"/>
    <w:rsid w:val="003C7C4E"/>
    <w:rsid w:val="003D025C"/>
    <w:rsid w:val="003D037D"/>
    <w:rsid w:val="003D2039"/>
    <w:rsid w:val="003D59CA"/>
    <w:rsid w:val="003D6BD2"/>
    <w:rsid w:val="003D7123"/>
    <w:rsid w:val="003D79EE"/>
    <w:rsid w:val="003E03DB"/>
    <w:rsid w:val="003E15AD"/>
    <w:rsid w:val="003E1B59"/>
    <w:rsid w:val="003E314D"/>
    <w:rsid w:val="003E4680"/>
    <w:rsid w:val="003E4E96"/>
    <w:rsid w:val="003E688C"/>
    <w:rsid w:val="003E6A6F"/>
    <w:rsid w:val="003E77E8"/>
    <w:rsid w:val="003E7ADD"/>
    <w:rsid w:val="003F003B"/>
    <w:rsid w:val="003F0894"/>
    <w:rsid w:val="003F5C63"/>
    <w:rsid w:val="003F6EC2"/>
    <w:rsid w:val="003F7927"/>
    <w:rsid w:val="00400722"/>
    <w:rsid w:val="00400D26"/>
    <w:rsid w:val="00402340"/>
    <w:rsid w:val="00403373"/>
    <w:rsid w:val="00405043"/>
    <w:rsid w:val="0040556A"/>
    <w:rsid w:val="004064B5"/>
    <w:rsid w:val="00406692"/>
    <w:rsid w:val="00406F36"/>
    <w:rsid w:val="00412084"/>
    <w:rsid w:val="0041327D"/>
    <w:rsid w:val="004135DB"/>
    <w:rsid w:val="004139A0"/>
    <w:rsid w:val="00413E2E"/>
    <w:rsid w:val="004152C4"/>
    <w:rsid w:val="00416F72"/>
    <w:rsid w:val="0042131C"/>
    <w:rsid w:val="00421812"/>
    <w:rsid w:val="0042218B"/>
    <w:rsid w:val="00423AAB"/>
    <w:rsid w:val="00423CCE"/>
    <w:rsid w:val="00425131"/>
    <w:rsid w:val="004257DB"/>
    <w:rsid w:val="004277D3"/>
    <w:rsid w:val="004315A1"/>
    <w:rsid w:val="00431D87"/>
    <w:rsid w:val="00434334"/>
    <w:rsid w:val="00435475"/>
    <w:rsid w:val="00436CFE"/>
    <w:rsid w:val="0044118C"/>
    <w:rsid w:val="00441460"/>
    <w:rsid w:val="004418AE"/>
    <w:rsid w:val="00441EF8"/>
    <w:rsid w:val="004443A2"/>
    <w:rsid w:val="00444521"/>
    <w:rsid w:val="00450056"/>
    <w:rsid w:val="004505FC"/>
    <w:rsid w:val="0045232E"/>
    <w:rsid w:val="0045271F"/>
    <w:rsid w:val="0045335C"/>
    <w:rsid w:val="004543EC"/>
    <w:rsid w:val="00455081"/>
    <w:rsid w:val="004559CF"/>
    <w:rsid w:val="00455C86"/>
    <w:rsid w:val="00456F2E"/>
    <w:rsid w:val="00463E34"/>
    <w:rsid w:val="00464168"/>
    <w:rsid w:val="004655AB"/>
    <w:rsid w:val="00467136"/>
    <w:rsid w:val="0046779F"/>
    <w:rsid w:val="004716C8"/>
    <w:rsid w:val="00472E6F"/>
    <w:rsid w:val="0047350F"/>
    <w:rsid w:val="00474780"/>
    <w:rsid w:val="004750A2"/>
    <w:rsid w:val="0047554F"/>
    <w:rsid w:val="004760D4"/>
    <w:rsid w:val="00476652"/>
    <w:rsid w:val="00476F69"/>
    <w:rsid w:val="00477AE5"/>
    <w:rsid w:val="00480F37"/>
    <w:rsid w:val="0048137B"/>
    <w:rsid w:val="00483D9E"/>
    <w:rsid w:val="00485A05"/>
    <w:rsid w:val="004870AE"/>
    <w:rsid w:val="004878F1"/>
    <w:rsid w:val="00487BF8"/>
    <w:rsid w:val="00490F3B"/>
    <w:rsid w:val="00492BD4"/>
    <w:rsid w:val="00493020"/>
    <w:rsid w:val="0049515A"/>
    <w:rsid w:val="00497253"/>
    <w:rsid w:val="00497B65"/>
    <w:rsid w:val="004A0CD0"/>
    <w:rsid w:val="004A2A35"/>
    <w:rsid w:val="004A3C2A"/>
    <w:rsid w:val="004A6383"/>
    <w:rsid w:val="004A66AD"/>
    <w:rsid w:val="004A79F3"/>
    <w:rsid w:val="004B018D"/>
    <w:rsid w:val="004B1594"/>
    <w:rsid w:val="004B19FB"/>
    <w:rsid w:val="004B2160"/>
    <w:rsid w:val="004B24DE"/>
    <w:rsid w:val="004C22AB"/>
    <w:rsid w:val="004C2A54"/>
    <w:rsid w:val="004C2FF2"/>
    <w:rsid w:val="004C4AD6"/>
    <w:rsid w:val="004C6FE4"/>
    <w:rsid w:val="004C74C4"/>
    <w:rsid w:val="004C7BD4"/>
    <w:rsid w:val="004D0480"/>
    <w:rsid w:val="004D0538"/>
    <w:rsid w:val="004D1AC3"/>
    <w:rsid w:val="004D5885"/>
    <w:rsid w:val="004D5B99"/>
    <w:rsid w:val="004D61FC"/>
    <w:rsid w:val="004E2446"/>
    <w:rsid w:val="004E2DBD"/>
    <w:rsid w:val="004E30CF"/>
    <w:rsid w:val="004E3297"/>
    <w:rsid w:val="004E383A"/>
    <w:rsid w:val="004E3874"/>
    <w:rsid w:val="004E38FE"/>
    <w:rsid w:val="004E63C6"/>
    <w:rsid w:val="004E6CB3"/>
    <w:rsid w:val="004E760D"/>
    <w:rsid w:val="004E7FC5"/>
    <w:rsid w:val="004F1A19"/>
    <w:rsid w:val="004F2B2F"/>
    <w:rsid w:val="004F3C2E"/>
    <w:rsid w:val="00500626"/>
    <w:rsid w:val="00501439"/>
    <w:rsid w:val="0050146D"/>
    <w:rsid w:val="005017CB"/>
    <w:rsid w:val="00502A37"/>
    <w:rsid w:val="00503168"/>
    <w:rsid w:val="005049B4"/>
    <w:rsid w:val="005055FB"/>
    <w:rsid w:val="00506222"/>
    <w:rsid w:val="00506D38"/>
    <w:rsid w:val="00507596"/>
    <w:rsid w:val="005076C3"/>
    <w:rsid w:val="00507D26"/>
    <w:rsid w:val="00512297"/>
    <w:rsid w:val="0051241C"/>
    <w:rsid w:val="00512B97"/>
    <w:rsid w:val="00512EEC"/>
    <w:rsid w:val="0051357C"/>
    <w:rsid w:val="00513EAB"/>
    <w:rsid w:val="00514D2F"/>
    <w:rsid w:val="005156BB"/>
    <w:rsid w:val="0051641A"/>
    <w:rsid w:val="00516A75"/>
    <w:rsid w:val="0052046E"/>
    <w:rsid w:val="00520966"/>
    <w:rsid w:val="005223E0"/>
    <w:rsid w:val="0052315B"/>
    <w:rsid w:val="005241E5"/>
    <w:rsid w:val="00525A18"/>
    <w:rsid w:val="00526128"/>
    <w:rsid w:val="00526638"/>
    <w:rsid w:val="00526C5A"/>
    <w:rsid w:val="00526DBC"/>
    <w:rsid w:val="005300CE"/>
    <w:rsid w:val="00531D31"/>
    <w:rsid w:val="00532EBA"/>
    <w:rsid w:val="0053377A"/>
    <w:rsid w:val="0053459E"/>
    <w:rsid w:val="0053470C"/>
    <w:rsid w:val="00534880"/>
    <w:rsid w:val="005354C4"/>
    <w:rsid w:val="0053710B"/>
    <w:rsid w:val="00537261"/>
    <w:rsid w:val="00540048"/>
    <w:rsid w:val="00540CB2"/>
    <w:rsid w:val="00541F64"/>
    <w:rsid w:val="005448BD"/>
    <w:rsid w:val="0054591C"/>
    <w:rsid w:val="00546873"/>
    <w:rsid w:val="005468E4"/>
    <w:rsid w:val="00546BEC"/>
    <w:rsid w:val="005473B2"/>
    <w:rsid w:val="00547468"/>
    <w:rsid w:val="0055026F"/>
    <w:rsid w:val="00550D88"/>
    <w:rsid w:val="0055157D"/>
    <w:rsid w:val="0055313A"/>
    <w:rsid w:val="005533CA"/>
    <w:rsid w:val="00554940"/>
    <w:rsid w:val="00554FAD"/>
    <w:rsid w:val="0055569D"/>
    <w:rsid w:val="00556B50"/>
    <w:rsid w:val="005572FB"/>
    <w:rsid w:val="00560764"/>
    <w:rsid w:val="00561044"/>
    <w:rsid w:val="005615E8"/>
    <w:rsid w:val="005642E9"/>
    <w:rsid w:val="005645CF"/>
    <w:rsid w:val="00566B3A"/>
    <w:rsid w:val="0056704A"/>
    <w:rsid w:val="00567EB9"/>
    <w:rsid w:val="00570772"/>
    <w:rsid w:val="005708AB"/>
    <w:rsid w:val="00572F8B"/>
    <w:rsid w:val="00573F65"/>
    <w:rsid w:val="00573FCC"/>
    <w:rsid w:val="00575D6A"/>
    <w:rsid w:val="00576D55"/>
    <w:rsid w:val="00576F65"/>
    <w:rsid w:val="00581912"/>
    <w:rsid w:val="00583A3C"/>
    <w:rsid w:val="005862CF"/>
    <w:rsid w:val="0058649B"/>
    <w:rsid w:val="005923E9"/>
    <w:rsid w:val="00593497"/>
    <w:rsid w:val="005936C6"/>
    <w:rsid w:val="005942ED"/>
    <w:rsid w:val="00594B90"/>
    <w:rsid w:val="005976B5"/>
    <w:rsid w:val="005A0F6B"/>
    <w:rsid w:val="005A26BE"/>
    <w:rsid w:val="005A29F1"/>
    <w:rsid w:val="005A47AC"/>
    <w:rsid w:val="005A4D3E"/>
    <w:rsid w:val="005A6F05"/>
    <w:rsid w:val="005A732D"/>
    <w:rsid w:val="005A7415"/>
    <w:rsid w:val="005B09B1"/>
    <w:rsid w:val="005B2770"/>
    <w:rsid w:val="005B3BA3"/>
    <w:rsid w:val="005B45ED"/>
    <w:rsid w:val="005B5806"/>
    <w:rsid w:val="005B6EF9"/>
    <w:rsid w:val="005C05E6"/>
    <w:rsid w:val="005C4B1C"/>
    <w:rsid w:val="005C54BD"/>
    <w:rsid w:val="005C65A8"/>
    <w:rsid w:val="005C6EC9"/>
    <w:rsid w:val="005D2940"/>
    <w:rsid w:val="005D367B"/>
    <w:rsid w:val="005D3F11"/>
    <w:rsid w:val="005D553C"/>
    <w:rsid w:val="005D6554"/>
    <w:rsid w:val="005D784C"/>
    <w:rsid w:val="005E10D4"/>
    <w:rsid w:val="005E48B9"/>
    <w:rsid w:val="005E5D75"/>
    <w:rsid w:val="005E5D88"/>
    <w:rsid w:val="005E61F4"/>
    <w:rsid w:val="005E75CE"/>
    <w:rsid w:val="005F0E43"/>
    <w:rsid w:val="005F1510"/>
    <w:rsid w:val="005F160B"/>
    <w:rsid w:val="005F161B"/>
    <w:rsid w:val="005F1A72"/>
    <w:rsid w:val="005F2406"/>
    <w:rsid w:val="005F499E"/>
    <w:rsid w:val="005F6538"/>
    <w:rsid w:val="005F7562"/>
    <w:rsid w:val="00600413"/>
    <w:rsid w:val="0060544E"/>
    <w:rsid w:val="00605B5C"/>
    <w:rsid w:val="00607C0B"/>
    <w:rsid w:val="00612F7E"/>
    <w:rsid w:val="006131AE"/>
    <w:rsid w:val="006132F2"/>
    <w:rsid w:val="00620CCA"/>
    <w:rsid w:val="00622CB0"/>
    <w:rsid w:val="00624622"/>
    <w:rsid w:val="006249FA"/>
    <w:rsid w:val="00624F3A"/>
    <w:rsid w:val="006253FB"/>
    <w:rsid w:val="006300A7"/>
    <w:rsid w:val="00631507"/>
    <w:rsid w:val="00631FDF"/>
    <w:rsid w:val="006344AE"/>
    <w:rsid w:val="00634830"/>
    <w:rsid w:val="00636231"/>
    <w:rsid w:val="00636447"/>
    <w:rsid w:val="00636AE6"/>
    <w:rsid w:val="00637787"/>
    <w:rsid w:val="00637E98"/>
    <w:rsid w:val="006410D1"/>
    <w:rsid w:val="00642D9D"/>
    <w:rsid w:val="00644124"/>
    <w:rsid w:val="006477CF"/>
    <w:rsid w:val="00647F76"/>
    <w:rsid w:val="00650748"/>
    <w:rsid w:val="00653313"/>
    <w:rsid w:val="00653D9C"/>
    <w:rsid w:val="006558DE"/>
    <w:rsid w:val="00655D5A"/>
    <w:rsid w:val="0065750B"/>
    <w:rsid w:val="00660658"/>
    <w:rsid w:val="00660BA1"/>
    <w:rsid w:val="006618C9"/>
    <w:rsid w:val="00661C87"/>
    <w:rsid w:val="00662BAB"/>
    <w:rsid w:val="0066579A"/>
    <w:rsid w:val="00665899"/>
    <w:rsid w:val="00665954"/>
    <w:rsid w:val="00665F8D"/>
    <w:rsid w:val="00666EE6"/>
    <w:rsid w:val="006679CA"/>
    <w:rsid w:val="00667DAA"/>
    <w:rsid w:val="006700FC"/>
    <w:rsid w:val="00670806"/>
    <w:rsid w:val="0067177A"/>
    <w:rsid w:val="00674478"/>
    <w:rsid w:val="0067664F"/>
    <w:rsid w:val="00676E27"/>
    <w:rsid w:val="00677874"/>
    <w:rsid w:val="00680704"/>
    <w:rsid w:val="00680725"/>
    <w:rsid w:val="00681026"/>
    <w:rsid w:val="00682835"/>
    <w:rsid w:val="00682F08"/>
    <w:rsid w:val="00685C8E"/>
    <w:rsid w:val="006869AE"/>
    <w:rsid w:val="00686BE5"/>
    <w:rsid w:val="0068746F"/>
    <w:rsid w:val="006959E7"/>
    <w:rsid w:val="00695EDB"/>
    <w:rsid w:val="006A021E"/>
    <w:rsid w:val="006A0971"/>
    <w:rsid w:val="006A0F1B"/>
    <w:rsid w:val="006A2669"/>
    <w:rsid w:val="006A2D84"/>
    <w:rsid w:val="006A2F13"/>
    <w:rsid w:val="006A3629"/>
    <w:rsid w:val="006A388C"/>
    <w:rsid w:val="006A3CF5"/>
    <w:rsid w:val="006A5D17"/>
    <w:rsid w:val="006A5D54"/>
    <w:rsid w:val="006A665B"/>
    <w:rsid w:val="006A6DA0"/>
    <w:rsid w:val="006A77BA"/>
    <w:rsid w:val="006A7BF7"/>
    <w:rsid w:val="006B1221"/>
    <w:rsid w:val="006C1212"/>
    <w:rsid w:val="006C171B"/>
    <w:rsid w:val="006C38A0"/>
    <w:rsid w:val="006C392C"/>
    <w:rsid w:val="006C5F9F"/>
    <w:rsid w:val="006C69DE"/>
    <w:rsid w:val="006C7B7B"/>
    <w:rsid w:val="006D0173"/>
    <w:rsid w:val="006D16ED"/>
    <w:rsid w:val="006D27BF"/>
    <w:rsid w:val="006D2A57"/>
    <w:rsid w:val="006D406E"/>
    <w:rsid w:val="006D4A68"/>
    <w:rsid w:val="006D52E0"/>
    <w:rsid w:val="006D5349"/>
    <w:rsid w:val="006E068B"/>
    <w:rsid w:val="006E1441"/>
    <w:rsid w:val="006E199A"/>
    <w:rsid w:val="006E4846"/>
    <w:rsid w:val="006E5059"/>
    <w:rsid w:val="006E655E"/>
    <w:rsid w:val="006E7555"/>
    <w:rsid w:val="006F092D"/>
    <w:rsid w:val="006F10B1"/>
    <w:rsid w:val="006F1E06"/>
    <w:rsid w:val="006F2C21"/>
    <w:rsid w:val="006F32DE"/>
    <w:rsid w:val="006F4DA0"/>
    <w:rsid w:val="007039CA"/>
    <w:rsid w:val="00703C0B"/>
    <w:rsid w:val="00703FC9"/>
    <w:rsid w:val="00705A1D"/>
    <w:rsid w:val="00705B61"/>
    <w:rsid w:val="00705B81"/>
    <w:rsid w:val="00705BA1"/>
    <w:rsid w:val="00706E15"/>
    <w:rsid w:val="00707FF9"/>
    <w:rsid w:val="007107A9"/>
    <w:rsid w:val="00711189"/>
    <w:rsid w:val="00712DF7"/>
    <w:rsid w:val="00716D18"/>
    <w:rsid w:val="00717BBB"/>
    <w:rsid w:val="007205EA"/>
    <w:rsid w:val="00721369"/>
    <w:rsid w:val="00721CEE"/>
    <w:rsid w:val="00721D1D"/>
    <w:rsid w:val="0072397E"/>
    <w:rsid w:val="00723D04"/>
    <w:rsid w:val="00724014"/>
    <w:rsid w:val="00731616"/>
    <w:rsid w:val="007317F6"/>
    <w:rsid w:val="00732BE0"/>
    <w:rsid w:val="00732C64"/>
    <w:rsid w:val="00733C65"/>
    <w:rsid w:val="007354DF"/>
    <w:rsid w:val="0073670C"/>
    <w:rsid w:val="00736714"/>
    <w:rsid w:val="00736ACF"/>
    <w:rsid w:val="00742043"/>
    <w:rsid w:val="00742B0A"/>
    <w:rsid w:val="00743370"/>
    <w:rsid w:val="00744302"/>
    <w:rsid w:val="00747679"/>
    <w:rsid w:val="00753785"/>
    <w:rsid w:val="00755723"/>
    <w:rsid w:val="00760559"/>
    <w:rsid w:val="0076056B"/>
    <w:rsid w:val="00760AF9"/>
    <w:rsid w:val="007614B2"/>
    <w:rsid w:val="00761B9C"/>
    <w:rsid w:val="00767DE9"/>
    <w:rsid w:val="00770DDC"/>
    <w:rsid w:val="00772662"/>
    <w:rsid w:val="00773D2D"/>
    <w:rsid w:val="00774007"/>
    <w:rsid w:val="00776762"/>
    <w:rsid w:val="0078067F"/>
    <w:rsid w:val="0078148C"/>
    <w:rsid w:val="007835A1"/>
    <w:rsid w:val="007838A5"/>
    <w:rsid w:val="00783E23"/>
    <w:rsid w:val="00784BFC"/>
    <w:rsid w:val="00785639"/>
    <w:rsid w:val="00785A1B"/>
    <w:rsid w:val="00785F00"/>
    <w:rsid w:val="0078644E"/>
    <w:rsid w:val="00790D0B"/>
    <w:rsid w:val="00793CDD"/>
    <w:rsid w:val="007947E4"/>
    <w:rsid w:val="00795207"/>
    <w:rsid w:val="00796EE8"/>
    <w:rsid w:val="007977C3"/>
    <w:rsid w:val="00797811"/>
    <w:rsid w:val="007A170B"/>
    <w:rsid w:val="007A27C2"/>
    <w:rsid w:val="007A31A1"/>
    <w:rsid w:val="007A3674"/>
    <w:rsid w:val="007A479B"/>
    <w:rsid w:val="007B14E2"/>
    <w:rsid w:val="007B1738"/>
    <w:rsid w:val="007B5E7B"/>
    <w:rsid w:val="007B63F6"/>
    <w:rsid w:val="007B65FB"/>
    <w:rsid w:val="007C0796"/>
    <w:rsid w:val="007C0C40"/>
    <w:rsid w:val="007C17B7"/>
    <w:rsid w:val="007C243E"/>
    <w:rsid w:val="007C2E8B"/>
    <w:rsid w:val="007C35EF"/>
    <w:rsid w:val="007C60EB"/>
    <w:rsid w:val="007C7AF1"/>
    <w:rsid w:val="007D0E79"/>
    <w:rsid w:val="007D1446"/>
    <w:rsid w:val="007D3884"/>
    <w:rsid w:val="007E147A"/>
    <w:rsid w:val="007E172A"/>
    <w:rsid w:val="007E19F6"/>
    <w:rsid w:val="007E1BE7"/>
    <w:rsid w:val="007E5481"/>
    <w:rsid w:val="007E62E5"/>
    <w:rsid w:val="007E7547"/>
    <w:rsid w:val="007E79AE"/>
    <w:rsid w:val="007E7ED1"/>
    <w:rsid w:val="007F1A69"/>
    <w:rsid w:val="007F213D"/>
    <w:rsid w:val="007F348E"/>
    <w:rsid w:val="007F407E"/>
    <w:rsid w:val="007F5389"/>
    <w:rsid w:val="007F57B4"/>
    <w:rsid w:val="007F5EE1"/>
    <w:rsid w:val="007F62E3"/>
    <w:rsid w:val="007F6A71"/>
    <w:rsid w:val="0080000A"/>
    <w:rsid w:val="0080095E"/>
    <w:rsid w:val="008016C3"/>
    <w:rsid w:val="00802083"/>
    <w:rsid w:val="00802FEE"/>
    <w:rsid w:val="00803758"/>
    <w:rsid w:val="008038F6"/>
    <w:rsid w:val="008047F3"/>
    <w:rsid w:val="00804C85"/>
    <w:rsid w:val="008052A7"/>
    <w:rsid w:val="00810104"/>
    <w:rsid w:val="00810921"/>
    <w:rsid w:val="008125A8"/>
    <w:rsid w:val="00812E32"/>
    <w:rsid w:val="00814646"/>
    <w:rsid w:val="0081602C"/>
    <w:rsid w:val="008176DC"/>
    <w:rsid w:val="0082107A"/>
    <w:rsid w:val="0082237F"/>
    <w:rsid w:val="008236AE"/>
    <w:rsid w:val="00823EBE"/>
    <w:rsid w:val="008244CB"/>
    <w:rsid w:val="00824D6D"/>
    <w:rsid w:val="008269EF"/>
    <w:rsid w:val="00827261"/>
    <w:rsid w:val="008273AC"/>
    <w:rsid w:val="00833ACA"/>
    <w:rsid w:val="00833B96"/>
    <w:rsid w:val="00835105"/>
    <w:rsid w:val="0083746E"/>
    <w:rsid w:val="00837F9C"/>
    <w:rsid w:val="008406DE"/>
    <w:rsid w:val="00842B83"/>
    <w:rsid w:val="008437B7"/>
    <w:rsid w:val="00843B7C"/>
    <w:rsid w:val="0084430B"/>
    <w:rsid w:val="00844F1F"/>
    <w:rsid w:val="008465A8"/>
    <w:rsid w:val="00847199"/>
    <w:rsid w:val="008471D4"/>
    <w:rsid w:val="008500C0"/>
    <w:rsid w:val="00850248"/>
    <w:rsid w:val="0085115B"/>
    <w:rsid w:val="008512E9"/>
    <w:rsid w:val="008548EF"/>
    <w:rsid w:val="00856337"/>
    <w:rsid w:val="00856716"/>
    <w:rsid w:val="008572C9"/>
    <w:rsid w:val="00857C14"/>
    <w:rsid w:val="008603C9"/>
    <w:rsid w:val="00860A0D"/>
    <w:rsid w:val="00860C7A"/>
    <w:rsid w:val="0086133E"/>
    <w:rsid w:val="00862C23"/>
    <w:rsid w:val="00862E1A"/>
    <w:rsid w:val="00863408"/>
    <w:rsid w:val="00863759"/>
    <w:rsid w:val="00863D15"/>
    <w:rsid w:val="00863DB2"/>
    <w:rsid w:val="00864C93"/>
    <w:rsid w:val="00865B70"/>
    <w:rsid w:val="0086660C"/>
    <w:rsid w:val="00866A0C"/>
    <w:rsid w:val="00870F72"/>
    <w:rsid w:val="0087139A"/>
    <w:rsid w:val="00873295"/>
    <w:rsid w:val="00873E15"/>
    <w:rsid w:val="00873FF9"/>
    <w:rsid w:val="0087533C"/>
    <w:rsid w:val="00877BBD"/>
    <w:rsid w:val="00880109"/>
    <w:rsid w:val="00884AD2"/>
    <w:rsid w:val="00885743"/>
    <w:rsid w:val="00885A9E"/>
    <w:rsid w:val="008873A4"/>
    <w:rsid w:val="00890A49"/>
    <w:rsid w:val="008913D9"/>
    <w:rsid w:val="008914FF"/>
    <w:rsid w:val="00891E99"/>
    <w:rsid w:val="008936A3"/>
    <w:rsid w:val="0089431D"/>
    <w:rsid w:val="00895312"/>
    <w:rsid w:val="0089700F"/>
    <w:rsid w:val="008A3267"/>
    <w:rsid w:val="008A34E0"/>
    <w:rsid w:val="008A4D18"/>
    <w:rsid w:val="008A5978"/>
    <w:rsid w:val="008A6D04"/>
    <w:rsid w:val="008A7E81"/>
    <w:rsid w:val="008B073A"/>
    <w:rsid w:val="008B0A3C"/>
    <w:rsid w:val="008B158E"/>
    <w:rsid w:val="008B2C09"/>
    <w:rsid w:val="008B5623"/>
    <w:rsid w:val="008B64EE"/>
    <w:rsid w:val="008C012D"/>
    <w:rsid w:val="008C3350"/>
    <w:rsid w:val="008C4D46"/>
    <w:rsid w:val="008C6567"/>
    <w:rsid w:val="008C76C7"/>
    <w:rsid w:val="008D0700"/>
    <w:rsid w:val="008D1BD8"/>
    <w:rsid w:val="008D1CB5"/>
    <w:rsid w:val="008D3979"/>
    <w:rsid w:val="008D3D5D"/>
    <w:rsid w:val="008D4095"/>
    <w:rsid w:val="008D47C8"/>
    <w:rsid w:val="008D517F"/>
    <w:rsid w:val="008D5538"/>
    <w:rsid w:val="008D64DF"/>
    <w:rsid w:val="008D67F5"/>
    <w:rsid w:val="008E129A"/>
    <w:rsid w:val="008E2BE1"/>
    <w:rsid w:val="008E4785"/>
    <w:rsid w:val="008E659B"/>
    <w:rsid w:val="008E707A"/>
    <w:rsid w:val="008F0A69"/>
    <w:rsid w:val="008F2352"/>
    <w:rsid w:val="008F35A9"/>
    <w:rsid w:val="008F6D9A"/>
    <w:rsid w:val="008F6DAD"/>
    <w:rsid w:val="008F76DE"/>
    <w:rsid w:val="008F7B23"/>
    <w:rsid w:val="00900DD8"/>
    <w:rsid w:val="0090276C"/>
    <w:rsid w:val="0090326C"/>
    <w:rsid w:val="009042EC"/>
    <w:rsid w:val="009046A5"/>
    <w:rsid w:val="009064A6"/>
    <w:rsid w:val="00906C92"/>
    <w:rsid w:val="009078D6"/>
    <w:rsid w:val="0090791D"/>
    <w:rsid w:val="0091095D"/>
    <w:rsid w:val="009144A2"/>
    <w:rsid w:val="00914A8B"/>
    <w:rsid w:val="0091516D"/>
    <w:rsid w:val="00916723"/>
    <w:rsid w:val="00920294"/>
    <w:rsid w:val="00920350"/>
    <w:rsid w:val="0092041B"/>
    <w:rsid w:val="00922CD7"/>
    <w:rsid w:val="00924120"/>
    <w:rsid w:val="0092413C"/>
    <w:rsid w:val="00925EDA"/>
    <w:rsid w:val="00926F02"/>
    <w:rsid w:val="00927431"/>
    <w:rsid w:val="0092751F"/>
    <w:rsid w:val="00927F49"/>
    <w:rsid w:val="00933CF1"/>
    <w:rsid w:val="0093585C"/>
    <w:rsid w:val="00935CB0"/>
    <w:rsid w:val="00937307"/>
    <w:rsid w:val="00940D1A"/>
    <w:rsid w:val="00941CF4"/>
    <w:rsid w:val="00942886"/>
    <w:rsid w:val="00944FB6"/>
    <w:rsid w:val="009450C1"/>
    <w:rsid w:val="00945377"/>
    <w:rsid w:val="00947C40"/>
    <w:rsid w:val="009502A5"/>
    <w:rsid w:val="00950EB7"/>
    <w:rsid w:val="00951A25"/>
    <w:rsid w:val="00952ADA"/>
    <w:rsid w:val="00954345"/>
    <w:rsid w:val="00956C2A"/>
    <w:rsid w:val="00960FF9"/>
    <w:rsid w:val="009610E3"/>
    <w:rsid w:val="00961C1A"/>
    <w:rsid w:val="0096278B"/>
    <w:rsid w:val="0096314E"/>
    <w:rsid w:val="00964BF2"/>
    <w:rsid w:val="00964F7E"/>
    <w:rsid w:val="009652DB"/>
    <w:rsid w:val="00965AA9"/>
    <w:rsid w:val="00965B30"/>
    <w:rsid w:val="00966216"/>
    <w:rsid w:val="00966254"/>
    <w:rsid w:val="00967610"/>
    <w:rsid w:val="009715A9"/>
    <w:rsid w:val="00973FD1"/>
    <w:rsid w:val="00974B3B"/>
    <w:rsid w:val="00974C42"/>
    <w:rsid w:val="009751DD"/>
    <w:rsid w:val="00975355"/>
    <w:rsid w:val="00980329"/>
    <w:rsid w:val="00981178"/>
    <w:rsid w:val="0098359F"/>
    <w:rsid w:val="00986B31"/>
    <w:rsid w:val="00995F0F"/>
    <w:rsid w:val="00997804"/>
    <w:rsid w:val="009A0C1C"/>
    <w:rsid w:val="009A1D7F"/>
    <w:rsid w:val="009A2F16"/>
    <w:rsid w:val="009A3001"/>
    <w:rsid w:val="009A3356"/>
    <w:rsid w:val="009A39D9"/>
    <w:rsid w:val="009A5C9F"/>
    <w:rsid w:val="009B1331"/>
    <w:rsid w:val="009B31B0"/>
    <w:rsid w:val="009B43EA"/>
    <w:rsid w:val="009B45A9"/>
    <w:rsid w:val="009B47CF"/>
    <w:rsid w:val="009B712A"/>
    <w:rsid w:val="009B75DF"/>
    <w:rsid w:val="009C62E1"/>
    <w:rsid w:val="009C6E61"/>
    <w:rsid w:val="009D0787"/>
    <w:rsid w:val="009D189C"/>
    <w:rsid w:val="009D3313"/>
    <w:rsid w:val="009D5B43"/>
    <w:rsid w:val="009D785B"/>
    <w:rsid w:val="009E1CCE"/>
    <w:rsid w:val="009E50A4"/>
    <w:rsid w:val="009F0B05"/>
    <w:rsid w:val="009F0F17"/>
    <w:rsid w:val="009F60A7"/>
    <w:rsid w:val="009F61B7"/>
    <w:rsid w:val="009F705B"/>
    <w:rsid w:val="00A00371"/>
    <w:rsid w:val="00A00606"/>
    <w:rsid w:val="00A0217F"/>
    <w:rsid w:val="00A0339D"/>
    <w:rsid w:val="00A0497D"/>
    <w:rsid w:val="00A04D0B"/>
    <w:rsid w:val="00A06FB0"/>
    <w:rsid w:val="00A07297"/>
    <w:rsid w:val="00A1328F"/>
    <w:rsid w:val="00A146E1"/>
    <w:rsid w:val="00A20899"/>
    <w:rsid w:val="00A217FE"/>
    <w:rsid w:val="00A21A32"/>
    <w:rsid w:val="00A22ADD"/>
    <w:rsid w:val="00A2314F"/>
    <w:rsid w:val="00A2357E"/>
    <w:rsid w:val="00A2429F"/>
    <w:rsid w:val="00A263C3"/>
    <w:rsid w:val="00A26D50"/>
    <w:rsid w:val="00A2710D"/>
    <w:rsid w:val="00A27316"/>
    <w:rsid w:val="00A30845"/>
    <w:rsid w:val="00A31AE8"/>
    <w:rsid w:val="00A3532E"/>
    <w:rsid w:val="00A37833"/>
    <w:rsid w:val="00A41277"/>
    <w:rsid w:val="00A42E67"/>
    <w:rsid w:val="00A438F7"/>
    <w:rsid w:val="00A43DD0"/>
    <w:rsid w:val="00A44D0A"/>
    <w:rsid w:val="00A451E6"/>
    <w:rsid w:val="00A464D0"/>
    <w:rsid w:val="00A50622"/>
    <w:rsid w:val="00A51673"/>
    <w:rsid w:val="00A52217"/>
    <w:rsid w:val="00A533D6"/>
    <w:rsid w:val="00A56188"/>
    <w:rsid w:val="00A56AB9"/>
    <w:rsid w:val="00A576DC"/>
    <w:rsid w:val="00A60632"/>
    <w:rsid w:val="00A6517F"/>
    <w:rsid w:val="00A65B03"/>
    <w:rsid w:val="00A6605C"/>
    <w:rsid w:val="00A72229"/>
    <w:rsid w:val="00A74C1D"/>
    <w:rsid w:val="00A76A41"/>
    <w:rsid w:val="00A77036"/>
    <w:rsid w:val="00A80201"/>
    <w:rsid w:val="00A8238D"/>
    <w:rsid w:val="00A847FF"/>
    <w:rsid w:val="00A848BC"/>
    <w:rsid w:val="00A850DD"/>
    <w:rsid w:val="00A86661"/>
    <w:rsid w:val="00A90103"/>
    <w:rsid w:val="00A92653"/>
    <w:rsid w:val="00A934A0"/>
    <w:rsid w:val="00A93BF7"/>
    <w:rsid w:val="00A94267"/>
    <w:rsid w:val="00A95346"/>
    <w:rsid w:val="00AA16FB"/>
    <w:rsid w:val="00AA34BE"/>
    <w:rsid w:val="00AA4032"/>
    <w:rsid w:val="00AA4352"/>
    <w:rsid w:val="00AA459C"/>
    <w:rsid w:val="00AA4BD3"/>
    <w:rsid w:val="00AA60BD"/>
    <w:rsid w:val="00AB1BD5"/>
    <w:rsid w:val="00AB3037"/>
    <w:rsid w:val="00AC1847"/>
    <w:rsid w:val="00AC1BFB"/>
    <w:rsid w:val="00AC2053"/>
    <w:rsid w:val="00AC2078"/>
    <w:rsid w:val="00AC2F80"/>
    <w:rsid w:val="00AC3C46"/>
    <w:rsid w:val="00AC40C2"/>
    <w:rsid w:val="00AC41FC"/>
    <w:rsid w:val="00AC4569"/>
    <w:rsid w:val="00AC5D01"/>
    <w:rsid w:val="00AD0519"/>
    <w:rsid w:val="00AD09DA"/>
    <w:rsid w:val="00AD0A3B"/>
    <w:rsid w:val="00AD28A0"/>
    <w:rsid w:val="00AD37B7"/>
    <w:rsid w:val="00AD4811"/>
    <w:rsid w:val="00AD4BC4"/>
    <w:rsid w:val="00AD74AD"/>
    <w:rsid w:val="00AE33AB"/>
    <w:rsid w:val="00AE37CA"/>
    <w:rsid w:val="00AE3958"/>
    <w:rsid w:val="00AE3C0C"/>
    <w:rsid w:val="00AE419D"/>
    <w:rsid w:val="00AF27F2"/>
    <w:rsid w:val="00AF35B2"/>
    <w:rsid w:val="00AF3DE1"/>
    <w:rsid w:val="00AF450C"/>
    <w:rsid w:val="00B0049C"/>
    <w:rsid w:val="00B00847"/>
    <w:rsid w:val="00B01FFF"/>
    <w:rsid w:val="00B029D8"/>
    <w:rsid w:val="00B04255"/>
    <w:rsid w:val="00B045B0"/>
    <w:rsid w:val="00B04F7A"/>
    <w:rsid w:val="00B05444"/>
    <w:rsid w:val="00B058BB"/>
    <w:rsid w:val="00B05CAC"/>
    <w:rsid w:val="00B05EBC"/>
    <w:rsid w:val="00B06143"/>
    <w:rsid w:val="00B10B7A"/>
    <w:rsid w:val="00B119B3"/>
    <w:rsid w:val="00B12079"/>
    <w:rsid w:val="00B13890"/>
    <w:rsid w:val="00B141A4"/>
    <w:rsid w:val="00B1450B"/>
    <w:rsid w:val="00B15D30"/>
    <w:rsid w:val="00B15DD8"/>
    <w:rsid w:val="00B20938"/>
    <w:rsid w:val="00B213F2"/>
    <w:rsid w:val="00B21ECE"/>
    <w:rsid w:val="00B2471A"/>
    <w:rsid w:val="00B2642E"/>
    <w:rsid w:val="00B30B0E"/>
    <w:rsid w:val="00B30F1F"/>
    <w:rsid w:val="00B32505"/>
    <w:rsid w:val="00B32EDD"/>
    <w:rsid w:val="00B40124"/>
    <w:rsid w:val="00B401FC"/>
    <w:rsid w:val="00B41780"/>
    <w:rsid w:val="00B41EA9"/>
    <w:rsid w:val="00B420EE"/>
    <w:rsid w:val="00B43A16"/>
    <w:rsid w:val="00B43A73"/>
    <w:rsid w:val="00B442E2"/>
    <w:rsid w:val="00B47EB5"/>
    <w:rsid w:val="00B53EB5"/>
    <w:rsid w:val="00B604A1"/>
    <w:rsid w:val="00B635A3"/>
    <w:rsid w:val="00B66CF7"/>
    <w:rsid w:val="00B67E34"/>
    <w:rsid w:val="00B70C38"/>
    <w:rsid w:val="00B70D5E"/>
    <w:rsid w:val="00B7220E"/>
    <w:rsid w:val="00B72CED"/>
    <w:rsid w:val="00B73517"/>
    <w:rsid w:val="00B76AD9"/>
    <w:rsid w:val="00B773CF"/>
    <w:rsid w:val="00B811CA"/>
    <w:rsid w:val="00B82E18"/>
    <w:rsid w:val="00B84657"/>
    <w:rsid w:val="00B856C9"/>
    <w:rsid w:val="00B85FC4"/>
    <w:rsid w:val="00B867FF"/>
    <w:rsid w:val="00B86BB8"/>
    <w:rsid w:val="00B86E78"/>
    <w:rsid w:val="00B86F33"/>
    <w:rsid w:val="00B90170"/>
    <w:rsid w:val="00B902C6"/>
    <w:rsid w:val="00B90A89"/>
    <w:rsid w:val="00B9216B"/>
    <w:rsid w:val="00B93334"/>
    <w:rsid w:val="00B951E4"/>
    <w:rsid w:val="00B96A29"/>
    <w:rsid w:val="00BA05F5"/>
    <w:rsid w:val="00BA0C59"/>
    <w:rsid w:val="00BA3AF1"/>
    <w:rsid w:val="00BA440B"/>
    <w:rsid w:val="00BA544B"/>
    <w:rsid w:val="00BA583F"/>
    <w:rsid w:val="00BA59F2"/>
    <w:rsid w:val="00BA5C52"/>
    <w:rsid w:val="00BA6D0C"/>
    <w:rsid w:val="00BB160B"/>
    <w:rsid w:val="00BB1686"/>
    <w:rsid w:val="00BB2202"/>
    <w:rsid w:val="00BB561A"/>
    <w:rsid w:val="00BB69C5"/>
    <w:rsid w:val="00BB6A45"/>
    <w:rsid w:val="00BC0769"/>
    <w:rsid w:val="00BC1280"/>
    <w:rsid w:val="00BC2333"/>
    <w:rsid w:val="00BC36C1"/>
    <w:rsid w:val="00BC41B1"/>
    <w:rsid w:val="00BC46DB"/>
    <w:rsid w:val="00BC5432"/>
    <w:rsid w:val="00BD097D"/>
    <w:rsid w:val="00BD18B7"/>
    <w:rsid w:val="00BD18C5"/>
    <w:rsid w:val="00BD411C"/>
    <w:rsid w:val="00BD4804"/>
    <w:rsid w:val="00BD4BE0"/>
    <w:rsid w:val="00BD4F50"/>
    <w:rsid w:val="00BD5055"/>
    <w:rsid w:val="00BD54A7"/>
    <w:rsid w:val="00BD5E12"/>
    <w:rsid w:val="00BE1A26"/>
    <w:rsid w:val="00BE24A5"/>
    <w:rsid w:val="00BE3B99"/>
    <w:rsid w:val="00BE44F0"/>
    <w:rsid w:val="00BE581B"/>
    <w:rsid w:val="00BE774F"/>
    <w:rsid w:val="00BF1C5F"/>
    <w:rsid w:val="00BF2D2D"/>
    <w:rsid w:val="00BF2E29"/>
    <w:rsid w:val="00BF3F2A"/>
    <w:rsid w:val="00BF6335"/>
    <w:rsid w:val="00BF6E9A"/>
    <w:rsid w:val="00BF7107"/>
    <w:rsid w:val="00C0043C"/>
    <w:rsid w:val="00C00FB3"/>
    <w:rsid w:val="00C0149D"/>
    <w:rsid w:val="00C02C44"/>
    <w:rsid w:val="00C051F7"/>
    <w:rsid w:val="00C07989"/>
    <w:rsid w:val="00C11E7E"/>
    <w:rsid w:val="00C13945"/>
    <w:rsid w:val="00C1406C"/>
    <w:rsid w:val="00C1475B"/>
    <w:rsid w:val="00C2059A"/>
    <w:rsid w:val="00C205EA"/>
    <w:rsid w:val="00C214E1"/>
    <w:rsid w:val="00C22F39"/>
    <w:rsid w:val="00C24FFB"/>
    <w:rsid w:val="00C2511A"/>
    <w:rsid w:val="00C267A9"/>
    <w:rsid w:val="00C277B0"/>
    <w:rsid w:val="00C31CD3"/>
    <w:rsid w:val="00C32543"/>
    <w:rsid w:val="00C32F4F"/>
    <w:rsid w:val="00C33AB9"/>
    <w:rsid w:val="00C344C0"/>
    <w:rsid w:val="00C3525E"/>
    <w:rsid w:val="00C35A03"/>
    <w:rsid w:val="00C36476"/>
    <w:rsid w:val="00C37149"/>
    <w:rsid w:val="00C37185"/>
    <w:rsid w:val="00C376CC"/>
    <w:rsid w:val="00C41138"/>
    <w:rsid w:val="00C4129C"/>
    <w:rsid w:val="00C415EE"/>
    <w:rsid w:val="00C42535"/>
    <w:rsid w:val="00C43E3B"/>
    <w:rsid w:val="00C43F94"/>
    <w:rsid w:val="00C450F8"/>
    <w:rsid w:val="00C4512C"/>
    <w:rsid w:val="00C47771"/>
    <w:rsid w:val="00C47F5B"/>
    <w:rsid w:val="00C47F62"/>
    <w:rsid w:val="00C50038"/>
    <w:rsid w:val="00C521CE"/>
    <w:rsid w:val="00C5267C"/>
    <w:rsid w:val="00C52A51"/>
    <w:rsid w:val="00C531FE"/>
    <w:rsid w:val="00C54B7B"/>
    <w:rsid w:val="00C55030"/>
    <w:rsid w:val="00C5638A"/>
    <w:rsid w:val="00C57C96"/>
    <w:rsid w:val="00C57FF5"/>
    <w:rsid w:val="00C6043D"/>
    <w:rsid w:val="00C61171"/>
    <w:rsid w:val="00C6148D"/>
    <w:rsid w:val="00C61AE2"/>
    <w:rsid w:val="00C620BC"/>
    <w:rsid w:val="00C66947"/>
    <w:rsid w:val="00C7008A"/>
    <w:rsid w:val="00C7014C"/>
    <w:rsid w:val="00C7017F"/>
    <w:rsid w:val="00C701C5"/>
    <w:rsid w:val="00C71375"/>
    <w:rsid w:val="00C7257C"/>
    <w:rsid w:val="00C73F5C"/>
    <w:rsid w:val="00C7425E"/>
    <w:rsid w:val="00C751A9"/>
    <w:rsid w:val="00C76E85"/>
    <w:rsid w:val="00C81280"/>
    <w:rsid w:val="00C83CF5"/>
    <w:rsid w:val="00C848E1"/>
    <w:rsid w:val="00C85427"/>
    <w:rsid w:val="00C87097"/>
    <w:rsid w:val="00C87130"/>
    <w:rsid w:val="00C8752D"/>
    <w:rsid w:val="00C902DF"/>
    <w:rsid w:val="00C91ABE"/>
    <w:rsid w:val="00C91FC0"/>
    <w:rsid w:val="00C94472"/>
    <w:rsid w:val="00C944CF"/>
    <w:rsid w:val="00C9541E"/>
    <w:rsid w:val="00C95FA5"/>
    <w:rsid w:val="00C9614A"/>
    <w:rsid w:val="00C978FB"/>
    <w:rsid w:val="00C97A23"/>
    <w:rsid w:val="00C97E7E"/>
    <w:rsid w:val="00CA2FDB"/>
    <w:rsid w:val="00CA4288"/>
    <w:rsid w:val="00CA594F"/>
    <w:rsid w:val="00CA7951"/>
    <w:rsid w:val="00CA7A8C"/>
    <w:rsid w:val="00CB1572"/>
    <w:rsid w:val="00CB15BB"/>
    <w:rsid w:val="00CB1F58"/>
    <w:rsid w:val="00CB1FBA"/>
    <w:rsid w:val="00CB399B"/>
    <w:rsid w:val="00CB471E"/>
    <w:rsid w:val="00CB75AF"/>
    <w:rsid w:val="00CC014F"/>
    <w:rsid w:val="00CC0968"/>
    <w:rsid w:val="00CC4461"/>
    <w:rsid w:val="00CC6FE7"/>
    <w:rsid w:val="00CC70A8"/>
    <w:rsid w:val="00CD077A"/>
    <w:rsid w:val="00CD0FF5"/>
    <w:rsid w:val="00CD47D2"/>
    <w:rsid w:val="00CD5ABE"/>
    <w:rsid w:val="00CD6D6A"/>
    <w:rsid w:val="00CE0C53"/>
    <w:rsid w:val="00CE251D"/>
    <w:rsid w:val="00CE48FC"/>
    <w:rsid w:val="00CE5D6F"/>
    <w:rsid w:val="00CF18D4"/>
    <w:rsid w:val="00CF2443"/>
    <w:rsid w:val="00CF37AE"/>
    <w:rsid w:val="00CF45B4"/>
    <w:rsid w:val="00D0334A"/>
    <w:rsid w:val="00D05ED1"/>
    <w:rsid w:val="00D12C4F"/>
    <w:rsid w:val="00D15BB4"/>
    <w:rsid w:val="00D15D02"/>
    <w:rsid w:val="00D15DB9"/>
    <w:rsid w:val="00D16640"/>
    <w:rsid w:val="00D16884"/>
    <w:rsid w:val="00D21B80"/>
    <w:rsid w:val="00D225F4"/>
    <w:rsid w:val="00D22D31"/>
    <w:rsid w:val="00D242CD"/>
    <w:rsid w:val="00D263E8"/>
    <w:rsid w:val="00D32526"/>
    <w:rsid w:val="00D342FE"/>
    <w:rsid w:val="00D3476F"/>
    <w:rsid w:val="00D3576E"/>
    <w:rsid w:val="00D357A2"/>
    <w:rsid w:val="00D3657E"/>
    <w:rsid w:val="00D41074"/>
    <w:rsid w:val="00D41A24"/>
    <w:rsid w:val="00D444B3"/>
    <w:rsid w:val="00D44743"/>
    <w:rsid w:val="00D45644"/>
    <w:rsid w:val="00D47296"/>
    <w:rsid w:val="00D52018"/>
    <w:rsid w:val="00D52069"/>
    <w:rsid w:val="00D52701"/>
    <w:rsid w:val="00D553F6"/>
    <w:rsid w:val="00D55AB1"/>
    <w:rsid w:val="00D55BD2"/>
    <w:rsid w:val="00D62392"/>
    <w:rsid w:val="00D63A85"/>
    <w:rsid w:val="00D63B6E"/>
    <w:rsid w:val="00D64F6A"/>
    <w:rsid w:val="00D65EE8"/>
    <w:rsid w:val="00D665F3"/>
    <w:rsid w:val="00D668CD"/>
    <w:rsid w:val="00D73E8D"/>
    <w:rsid w:val="00D757EE"/>
    <w:rsid w:val="00D75A35"/>
    <w:rsid w:val="00D762FB"/>
    <w:rsid w:val="00D77A36"/>
    <w:rsid w:val="00D81564"/>
    <w:rsid w:val="00D81678"/>
    <w:rsid w:val="00D81A28"/>
    <w:rsid w:val="00D83747"/>
    <w:rsid w:val="00D83C60"/>
    <w:rsid w:val="00D862D8"/>
    <w:rsid w:val="00D87713"/>
    <w:rsid w:val="00D87E08"/>
    <w:rsid w:val="00D901C6"/>
    <w:rsid w:val="00D93583"/>
    <w:rsid w:val="00D978C2"/>
    <w:rsid w:val="00D97AFF"/>
    <w:rsid w:val="00D97E5B"/>
    <w:rsid w:val="00DA0E3F"/>
    <w:rsid w:val="00DA2E30"/>
    <w:rsid w:val="00DA44EA"/>
    <w:rsid w:val="00DA6581"/>
    <w:rsid w:val="00DA6813"/>
    <w:rsid w:val="00DA74AB"/>
    <w:rsid w:val="00DB0D0F"/>
    <w:rsid w:val="00DB28F6"/>
    <w:rsid w:val="00DB2ED2"/>
    <w:rsid w:val="00DB46B9"/>
    <w:rsid w:val="00DB4CC5"/>
    <w:rsid w:val="00DB4D76"/>
    <w:rsid w:val="00DB5CBF"/>
    <w:rsid w:val="00DB73A8"/>
    <w:rsid w:val="00DB79DB"/>
    <w:rsid w:val="00DB7CF6"/>
    <w:rsid w:val="00DC0BB8"/>
    <w:rsid w:val="00DC18ED"/>
    <w:rsid w:val="00DC26A4"/>
    <w:rsid w:val="00DC5867"/>
    <w:rsid w:val="00DC721C"/>
    <w:rsid w:val="00DD05E1"/>
    <w:rsid w:val="00DD1409"/>
    <w:rsid w:val="00DD15AB"/>
    <w:rsid w:val="00DD252F"/>
    <w:rsid w:val="00DD3165"/>
    <w:rsid w:val="00DD326C"/>
    <w:rsid w:val="00DD56F2"/>
    <w:rsid w:val="00DE1882"/>
    <w:rsid w:val="00DE18A3"/>
    <w:rsid w:val="00DE1D84"/>
    <w:rsid w:val="00DE1FE2"/>
    <w:rsid w:val="00DE2163"/>
    <w:rsid w:val="00DE2232"/>
    <w:rsid w:val="00DE2360"/>
    <w:rsid w:val="00DE298F"/>
    <w:rsid w:val="00DE336A"/>
    <w:rsid w:val="00DE3F3E"/>
    <w:rsid w:val="00DE6AEE"/>
    <w:rsid w:val="00DE7B02"/>
    <w:rsid w:val="00DE7D12"/>
    <w:rsid w:val="00DF5C70"/>
    <w:rsid w:val="00DF7546"/>
    <w:rsid w:val="00DF7E91"/>
    <w:rsid w:val="00E014B8"/>
    <w:rsid w:val="00E01D56"/>
    <w:rsid w:val="00E02F24"/>
    <w:rsid w:val="00E042BC"/>
    <w:rsid w:val="00E04C6C"/>
    <w:rsid w:val="00E052E6"/>
    <w:rsid w:val="00E13677"/>
    <w:rsid w:val="00E13A7B"/>
    <w:rsid w:val="00E14FBA"/>
    <w:rsid w:val="00E15A4B"/>
    <w:rsid w:val="00E22562"/>
    <w:rsid w:val="00E22AB0"/>
    <w:rsid w:val="00E22CE8"/>
    <w:rsid w:val="00E23679"/>
    <w:rsid w:val="00E23748"/>
    <w:rsid w:val="00E23FD0"/>
    <w:rsid w:val="00E25C33"/>
    <w:rsid w:val="00E314B3"/>
    <w:rsid w:val="00E31810"/>
    <w:rsid w:val="00E31A07"/>
    <w:rsid w:val="00E335CB"/>
    <w:rsid w:val="00E339EA"/>
    <w:rsid w:val="00E34EF0"/>
    <w:rsid w:val="00E35AA6"/>
    <w:rsid w:val="00E372EC"/>
    <w:rsid w:val="00E40515"/>
    <w:rsid w:val="00E40A33"/>
    <w:rsid w:val="00E42663"/>
    <w:rsid w:val="00E42835"/>
    <w:rsid w:val="00E42865"/>
    <w:rsid w:val="00E429D3"/>
    <w:rsid w:val="00E43B93"/>
    <w:rsid w:val="00E45211"/>
    <w:rsid w:val="00E45B5A"/>
    <w:rsid w:val="00E46727"/>
    <w:rsid w:val="00E5089B"/>
    <w:rsid w:val="00E52AC8"/>
    <w:rsid w:val="00E54DD3"/>
    <w:rsid w:val="00E55122"/>
    <w:rsid w:val="00E5619A"/>
    <w:rsid w:val="00E56C4E"/>
    <w:rsid w:val="00E57BED"/>
    <w:rsid w:val="00E669D4"/>
    <w:rsid w:val="00E67234"/>
    <w:rsid w:val="00E71483"/>
    <w:rsid w:val="00E71698"/>
    <w:rsid w:val="00E7311B"/>
    <w:rsid w:val="00E741CC"/>
    <w:rsid w:val="00E74A4C"/>
    <w:rsid w:val="00E77E3A"/>
    <w:rsid w:val="00E81F5D"/>
    <w:rsid w:val="00E834F2"/>
    <w:rsid w:val="00E83A78"/>
    <w:rsid w:val="00E83D48"/>
    <w:rsid w:val="00E86AD1"/>
    <w:rsid w:val="00E86D24"/>
    <w:rsid w:val="00E8791D"/>
    <w:rsid w:val="00E9269D"/>
    <w:rsid w:val="00E9273E"/>
    <w:rsid w:val="00E92FD4"/>
    <w:rsid w:val="00E93891"/>
    <w:rsid w:val="00E93A65"/>
    <w:rsid w:val="00E95113"/>
    <w:rsid w:val="00E95F77"/>
    <w:rsid w:val="00E96892"/>
    <w:rsid w:val="00E975B9"/>
    <w:rsid w:val="00E97BF3"/>
    <w:rsid w:val="00EA0B9D"/>
    <w:rsid w:val="00EA1BE3"/>
    <w:rsid w:val="00EA243F"/>
    <w:rsid w:val="00EA334F"/>
    <w:rsid w:val="00EA44B7"/>
    <w:rsid w:val="00EA451B"/>
    <w:rsid w:val="00EA4F2D"/>
    <w:rsid w:val="00EA66BB"/>
    <w:rsid w:val="00EA6E29"/>
    <w:rsid w:val="00EA7B6F"/>
    <w:rsid w:val="00EB04B6"/>
    <w:rsid w:val="00EB0634"/>
    <w:rsid w:val="00EB1BEA"/>
    <w:rsid w:val="00EB2090"/>
    <w:rsid w:val="00EB32DD"/>
    <w:rsid w:val="00EB42F8"/>
    <w:rsid w:val="00EB5FB0"/>
    <w:rsid w:val="00EB6D4F"/>
    <w:rsid w:val="00EB73C8"/>
    <w:rsid w:val="00EC0216"/>
    <w:rsid w:val="00EC0951"/>
    <w:rsid w:val="00EC1A09"/>
    <w:rsid w:val="00EC290F"/>
    <w:rsid w:val="00EC3CC7"/>
    <w:rsid w:val="00EC4895"/>
    <w:rsid w:val="00EC58E9"/>
    <w:rsid w:val="00EC6285"/>
    <w:rsid w:val="00EC6871"/>
    <w:rsid w:val="00EC71A2"/>
    <w:rsid w:val="00ED1FC5"/>
    <w:rsid w:val="00ED206C"/>
    <w:rsid w:val="00ED27BC"/>
    <w:rsid w:val="00ED4389"/>
    <w:rsid w:val="00ED4819"/>
    <w:rsid w:val="00ED61E8"/>
    <w:rsid w:val="00ED6701"/>
    <w:rsid w:val="00EE1971"/>
    <w:rsid w:val="00EE243F"/>
    <w:rsid w:val="00EE5EAB"/>
    <w:rsid w:val="00EF1E4B"/>
    <w:rsid w:val="00EF23A6"/>
    <w:rsid w:val="00EF5610"/>
    <w:rsid w:val="00EF765B"/>
    <w:rsid w:val="00F028E3"/>
    <w:rsid w:val="00F035ED"/>
    <w:rsid w:val="00F04824"/>
    <w:rsid w:val="00F04E72"/>
    <w:rsid w:val="00F055DB"/>
    <w:rsid w:val="00F07717"/>
    <w:rsid w:val="00F103CE"/>
    <w:rsid w:val="00F109A8"/>
    <w:rsid w:val="00F11617"/>
    <w:rsid w:val="00F11768"/>
    <w:rsid w:val="00F12085"/>
    <w:rsid w:val="00F125DA"/>
    <w:rsid w:val="00F125E6"/>
    <w:rsid w:val="00F14CF0"/>
    <w:rsid w:val="00F16915"/>
    <w:rsid w:val="00F211CF"/>
    <w:rsid w:val="00F228E2"/>
    <w:rsid w:val="00F243EC"/>
    <w:rsid w:val="00F24A98"/>
    <w:rsid w:val="00F25208"/>
    <w:rsid w:val="00F2553E"/>
    <w:rsid w:val="00F25581"/>
    <w:rsid w:val="00F25F05"/>
    <w:rsid w:val="00F26A27"/>
    <w:rsid w:val="00F26B19"/>
    <w:rsid w:val="00F2718A"/>
    <w:rsid w:val="00F27350"/>
    <w:rsid w:val="00F27673"/>
    <w:rsid w:val="00F277AE"/>
    <w:rsid w:val="00F30E1D"/>
    <w:rsid w:val="00F30F4D"/>
    <w:rsid w:val="00F34881"/>
    <w:rsid w:val="00F35904"/>
    <w:rsid w:val="00F36245"/>
    <w:rsid w:val="00F37979"/>
    <w:rsid w:val="00F40BBD"/>
    <w:rsid w:val="00F41398"/>
    <w:rsid w:val="00F41FC9"/>
    <w:rsid w:val="00F42134"/>
    <w:rsid w:val="00F42B60"/>
    <w:rsid w:val="00F43777"/>
    <w:rsid w:val="00F44D8A"/>
    <w:rsid w:val="00F451FC"/>
    <w:rsid w:val="00F4633D"/>
    <w:rsid w:val="00F46C68"/>
    <w:rsid w:val="00F47A40"/>
    <w:rsid w:val="00F50103"/>
    <w:rsid w:val="00F5086B"/>
    <w:rsid w:val="00F509DE"/>
    <w:rsid w:val="00F5159C"/>
    <w:rsid w:val="00F5182A"/>
    <w:rsid w:val="00F5189D"/>
    <w:rsid w:val="00F520EA"/>
    <w:rsid w:val="00F52567"/>
    <w:rsid w:val="00F546E2"/>
    <w:rsid w:val="00F5683B"/>
    <w:rsid w:val="00F56EE7"/>
    <w:rsid w:val="00F572BF"/>
    <w:rsid w:val="00F57DBD"/>
    <w:rsid w:val="00F60A6A"/>
    <w:rsid w:val="00F614B4"/>
    <w:rsid w:val="00F61F5E"/>
    <w:rsid w:val="00F62B65"/>
    <w:rsid w:val="00F670AF"/>
    <w:rsid w:val="00F6749A"/>
    <w:rsid w:val="00F67A68"/>
    <w:rsid w:val="00F71170"/>
    <w:rsid w:val="00F72528"/>
    <w:rsid w:val="00F745CD"/>
    <w:rsid w:val="00F761DF"/>
    <w:rsid w:val="00F80388"/>
    <w:rsid w:val="00F818E9"/>
    <w:rsid w:val="00F821E3"/>
    <w:rsid w:val="00F8335C"/>
    <w:rsid w:val="00F8397F"/>
    <w:rsid w:val="00F83EB9"/>
    <w:rsid w:val="00F8437F"/>
    <w:rsid w:val="00F843D8"/>
    <w:rsid w:val="00F857FF"/>
    <w:rsid w:val="00F9016B"/>
    <w:rsid w:val="00F91DA2"/>
    <w:rsid w:val="00F92D04"/>
    <w:rsid w:val="00F9319C"/>
    <w:rsid w:val="00F951C5"/>
    <w:rsid w:val="00F95BA3"/>
    <w:rsid w:val="00F96DDF"/>
    <w:rsid w:val="00F975A8"/>
    <w:rsid w:val="00FA0B90"/>
    <w:rsid w:val="00FA3038"/>
    <w:rsid w:val="00FA35D3"/>
    <w:rsid w:val="00FA374D"/>
    <w:rsid w:val="00FA413F"/>
    <w:rsid w:val="00FA4856"/>
    <w:rsid w:val="00FA5319"/>
    <w:rsid w:val="00FA6303"/>
    <w:rsid w:val="00FA67BC"/>
    <w:rsid w:val="00FA6AD0"/>
    <w:rsid w:val="00FA731D"/>
    <w:rsid w:val="00FB167D"/>
    <w:rsid w:val="00FB2A7D"/>
    <w:rsid w:val="00FB3646"/>
    <w:rsid w:val="00FB364B"/>
    <w:rsid w:val="00FC03FF"/>
    <w:rsid w:val="00FC21C1"/>
    <w:rsid w:val="00FC43BC"/>
    <w:rsid w:val="00FC4A6B"/>
    <w:rsid w:val="00FC544F"/>
    <w:rsid w:val="00FC62A0"/>
    <w:rsid w:val="00FC65F9"/>
    <w:rsid w:val="00FC6E86"/>
    <w:rsid w:val="00FC79AF"/>
    <w:rsid w:val="00FD29FF"/>
    <w:rsid w:val="00FD4754"/>
    <w:rsid w:val="00FD47D6"/>
    <w:rsid w:val="00FD561D"/>
    <w:rsid w:val="00FD7064"/>
    <w:rsid w:val="00FD7B01"/>
    <w:rsid w:val="00FE0304"/>
    <w:rsid w:val="00FE0B2B"/>
    <w:rsid w:val="00FF0CFB"/>
    <w:rsid w:val="00FF2F16"/>
    <w:rsid w:val="00FF3784"/>
    <w:rsid w:val="00FF5C9F"/>
    <w:rsid w:val="00FF660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4696"/>
  <w15:chartTrackingRefBased/>
  <w15:docId w15:val="{A71DB7EE-A0DF-4EB5-8003-80699F4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C3"/>
    <w:pPr>
      <w:jc w:val="both"/>
    </w:pPr>
    <w:rPr>
      <w:rFonts w:ascii="Times New Roman" w:hAnsi="Times New Roman"/>
      <w:sz w:val="24"/>
    </w:rPr>
  </w:style>
  <w:style w:type="paragraph" w:styleId="Heading1">
    <w:name w:val="heading 1"/>
    <w:basedOn w:val="Normal"/>
    <w:next w:val="Normal"/>
    <w:link w:val="Heading1Char"/>
    <w:uiPriority w:val="9"/>
    <w:qFormat/>
    <w:rsid w:val="00964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F7E"/>
    <w:rPr>
      <w:rFonts w:eastAsiaTheme="majorEastAsia" w:cstheme="majorBidi"/>
      <w:color w:val="272727" w:themeColor="text1" w:themeTint="D8"/>
    </w:rPr>
  </w:style>
  <w:style w:type="paragraph" w:styleId="Title">
    <w:name w:val="Title"/>
    <w:basedOn w:val="Normal"/>
    <w:next w:val="Normal"/>
    <w:link w:val="TitleChar"/>
    <w:uiPriority w:val="10"/>
    <w:qFormat/>
    <w:rsid w:val="00772662"/>
    <w:pPr>
      <w:spacing w:after="8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72662"/>
    <w:rPr>
      <w:rFonts w:ascii="Times New Roman" w:eastAsiaTheme="majorEastAsia" w:hAnsi="Times New Roman" w:cstheme="majorBidi"/>
      <w:spacing w:val="-10"/>
      <w:kern w:val="28"/>
      <w:sz w:val="48"/>
      <w:szCs w:val="56"/>
    </w:rPr>
  </w:style>
  <w:style w:type="paragraph" w:styleId="Subtitle">
    <w:name w:val="Subtitle"/>
    <w:basedOn w:val="Normal"/>
    <w:next w:val="Normal"/>
    <w:link w:val="SubtitleChar"/>
    <w:uiPriority w:val="11"/>
    <w:qFormat/>
    <w:rsid w:val="00964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F7E"/>
    <w:pPr>
      <w:spacing w:before="160"/>
      <w:jc w:val="center"/>
    </w:pPr>
    <w:rPr>
      <w:i/>
      <w:iCs/>
      <w:color w:val="404040" w:themeColor="text1" w:themeTint="BF"/>
    </w:rPr>
  </w:style>
  <w:style w:type="character" w:customStyle="1" w:styleId="QuoteChar">
    <w:name w:val="Quote Char"/>
    <w:basedOn w:val="DefaultParagraphFont"/>
    <w:link w:val="Quote"/>
    <w:uiPriority w:val="29"/>
    <w:rsid w:val="00964F7E"/>
    <w:rPr>
      <w:i/>
      <w:iCs/>
      <w:color w:val="404040" w:themeColor="text1" w:themeTint="BF"/>
    </w:rPr>
  </w:style>
  <w:style w:type="paragraph" w:styleId="ListParagraph">
    <w:name w:val="List Paragraph"/>
    <w:basedOn w:val="Normal"/>
    <w:uiPriority w:val="34"/>
    <w:qFormat/>
    <w:rsid w:val="00964F7E"/>
    <w:pPr>
      <w:ind w:left="720"/>
      <w:contextualSpacing/>
    </w:pPr>
  </w:style>
  <w:style w:type="character" w:styleId="IntenseEmphasis">
    <w:name w:val="Intense Emphasis"/>
    <w:basedOn w:val="DefaultParagraphFont"/>
    <w:uiPriority w:val="21"/>
    <w:qFormat/>
    <w:rsid w:val="00964F7E"/>
    <w:rPr>
      <w:i/>
      <w:iCs/>
      <w:color w:val="0F4761" w:themeColor="accent1" w:themeShade="BF"/>
    </w:rPr>
  </w:style>
  <w:style w:type="paragraph" w:styleId="IntenseQuote">
    <w:name w:val="Intense Quote"/>
    <w:basedOn w:val="Normal"/>
    <w:next w:val="Normal"/>
    <w:link w:val="IntenseQuoteChar"/>
    <w:uiPriority w:val="30"/>
    <w:qFormat/>
    <w:rsid w:val="00964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F7E"/>
    <w:rPr>
      <w:i/>
      <w:iCs/>
      <w:color w:val="0F4761" w:themeColor="accent1" w:themeShade="BF"/>
    </w:rPr>
  </w:style>
  <w:style w:type="character" w:styleId="IntenseReference">
    <w:name w:val="Intense Reference"/>
    <w:basedOn w:val="DefaultParagraphFont"/>
    <w:uiPriority w:val="32"/>
    <w:qFormat/>
    <w:rsid w:val="00964F7E"/>
    <w:rPr>
      <w:b/>
      <w:bCs/>
      <w:smallCaps/>
      <w:color w:val="0F4761" w:themeColor="accent1" w:themeShade="BF"/>
      <w:spacing w:val="5"/>
    </w:rPr>
  </w:style>
  <w:style w:type="paragraph" w:styleId="FootnoteText">
    <w:name w:val="footnote text"/>
    <w:basedOn w:val="Normal"/>
    <w:link w:val="FootnoteTextChar"/>
    <w:uiPriority w:val="99"/>
    <w:unhideWhenUsed/>
    <w:rsid w:val="00257AA1"/>
    <w:pPr>
      <w:spacing w:after="0" w:line="240" w:lineRule="auto"/>
    </w:pPr>
    <w:rPr>
      <w:sz w:val="20"/>
      <w:szCs w:val="20"/>
    </w:rPr>
  </w:style>
  <w:style w:type="character" w:customStyle="1" w:styleId="FootnoteTextChar">
    <w:name w:val="Footnote Text Char"/>
    <w:basedOn w:val="DefaultParagraphFont"/>
    <w:link w:val="FootnoteText"/>
    <w:uiPriority w:val="99"/>
    <w:rsid w:val="00257AA1"/>
    <w:rPr>
      <w:sz w:val="20"/>
      <w:szCs w:val="20"/>
    </w:rPr>
  </w:style>
  <w:style w:type="character" w:styleId="FootnoteReference">
    <w:name w:val="footnote reference"/>
    <w:basedOn w:val="DefaultParagraphFont"/>
    <w:uiPriority w:val="99"/>
    <w:semiHidden/>
    <w:unhideWhenUsed/>
    <w:rsid w:val="00257AA1"/>
    <w:rPr>
      <w:vertAlign w:val="superscript"/>
    </w:rPr>
  </w:style>
  <w:style w:type="paragraph" w:styleId="Revision">
    <w:name w:val="Revision"/>
    <w:hidden/>
    <w:uiPriority w:val="99"/>
    <w:semiHidden/>
    <w:rsid w:val="00EB5FB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A59F2"/>
    <w:rPr>
      <w:sz w:val="16"/>
      <w:szCs w:val="16"/>
    </w:rPr>
  </w:style>
  <w:style w:type="paragraph" w:styleId="CommentText">
    <w:name w:val="annotation text"/>
    <w:basedOn w:val="Normal"/>
    <w:link w:val="CommentTextChar"/>
    <w:uiPriority w:val="99"/>
    <w:unhideWhenUsed/>
    <w:rsid w:val="00BA59F2"/>
    <w:pPr>
      <w:spacing w:line="240" w:lineRule="auto"/>
    </w:pPr>
    <w:rPr>
      <w:sz w:val="20"/>
      <w:szCs w:val="20"/>
    </w:rPr>
  </w:style>
  <w:style w:type="character" w:customStyle="1" w:styleId="CommentTextChar">
    <w:name w:val="Comment Text Char"/>
    <w:basedOn w:val="DefaultParagraphFont"/>
    <w:link w:val="CommentText"/>
    <w:uiPriority w:val="99"/>
    <w:rsid w:val="00BA59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59F2"/>
    <w:rPr>
      <w:b/>
      <w:bCs/>
    </w:rPr>
  </w:style>
  <w:style w:type="character" w:customStyle="1" w:styleId="CommentSubjectChar">
    <w:name w:val="Comment Subject Char"/>
    <w:basedOn w:val="CommentTextChar"/>
    <w:link w:val="CommentSubject"/>
    <w:uiPriority w:val="99"/>
    <w:semiHidden/>
    <w:rsid w:val="00BA59F2"/>
    <w:rPr>
      <w:rFonts w:ascii="Times New Roman" w:hAnsi="Times New Roman"/>
      <w:b/>
      <w:bCs/>
      <w:sz w:val="20"/>
      <w:szCs w:val="20"/>
    </w:rPr>
  </w:style>
  <w:style w:type="character" w:styleId="Hyperlink">
    <w:name w:val="Hyperlink"/>
    <w:basedOn w:val="DefaultParagraphFont"/>
    <w:uiPriority w:val="99"/>
    <w:semiHidden/>
    <w:unhideWhenUsed/>
    <w:rsid w:val="00575D6A"/>
    <w:rPr>
      <w:color w:val="0000FF"/>
      <w:u w:val="single"/>
    </w:rPr>
  </w:style>
  <w:style w:type="character" w:styleId="FollowedHyperlink">
    <w:name w:val="FollowedHyperlink"/>
    <w:basedOn w:val="DefaultParagraphFont"/>
    <w:uiPriority w:val="99"/>
    <w:semiHidden/>
    <w:unhideWhenUsed/>
    <w:rsid w:val="006E199A"/>
    <w:rPr>
      <w:color w:val="96607D" w:themeColor="followedHyperlink"/>
      <w:u w:val="single"/>
    </w:rPr>
  </w:style>
  <w:style w:type="paragraph" w:styleId="Header">
    <w:name w:val="header"/>
    <w:basedOn w:val="Normal"/>
    <w:link w:val="HeaderChar"/>
    <w:uiPriority w:val="99"/>
    <w:unhideWhenUsed/>
    <w:rsid w:val="00FF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16"/>
    <w:rPr>
      <w:rFonts w:ascii="Times New Roman" w:hAnsi="Times New Roman"/>
      <w:sz w:val="24"/>
    </w:rPr>
  </w:style>
  <w:style w:type="paragraph" w:styleId="Footer">
    <w:name w:val="footer"/>
    <w:basedOn w:val="Normal"/>
    <w:link w:val="FooterChar"/>
    <w:uiPriority w:val="99"/>
    <w:unhideWhenUsed/>
    <w:rsid w:val="00FF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F43B-954D-3F4B-9AEE-B0DAE2237975}">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32</TotalTime>
  <Pages>15</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Langille</dc:creator>
  <cp:keywords/>
  <dc:description/>
  <cp:lastModifiedBy>Cossette Penner-Olivera</cp:lastModifiedBy>
  <cp:revision>28</cp:revision>
  <cp:lastPrinted>2024-10-04T19:22:00Z</cp:lastPrinted>
  <dcterms:created xsi:type="dcterms:W3CDTF">2025-02-06T16:06:00Z</dcterms:created>
  <dcterms:modified xsi:type="dcterms:W3CDTF">2025-05-05T19:13:00Z</dcterms:modified>
</cp:coreProperties>
</file>